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4A7" w:rsidRPr="00C63F3F" w:rsidRDefault="009734A7" w:rsidP="00656F9F">
      <w:pPr>
        <w:jc w:val="center"/>
        <w:outlineLvl w:val="0"/>
        <w:rPr>
          <w:rFonts w:ascii="Arial" w:hAnsi="Arial" w:cs="Arial"/>
          <w:b/>
          <w:color w:val="000000"/>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r w:rsidRPr="00C63F3F">
        <w:rPr>
          <w:rFonts w:ascii="Arial" w:hAnsi="Arial" w:cs="Arial"/>
          <w:b/>
          <w:sz w:val="28"/>
          <w:szCs w:val="28"/>
          <w:lang w:val="es-ES_tradnl"/>
        </w:rPr>
        <w:t xml:space="preserve">INFORME DE EVALUACION DEL SISTEMA </w:t>
      </w:r>
    </w:p>
    <w:p w:rsidR="005876BB" w:rsidRPr="00C63F3F" w:rsidRDefault="005876BB" w:rsidP="00656F9F">
      <w:pPr>
        <w:jc w:val="center"/>
        <w:outlineLvl w:val="0"/>
        <w:rPr>
          <w:rFonts w:ascii="Arial" w:hAnsi="Arial" w:cs="Arial"/>
          <w:b/>
          <w:sz w:val="28"/>
          <w:szCs w:val="28"/>
          <w:lang w:val="es-ES_tradnl"/>
        </w:rPr>
      </w:pPr>
      <w:r w:rsidRPr="00C63F3F">
        <w:rPr>
          <w:rFonts w:ascii="Arial" w:hAnsi="Arial" w:cs="Arial"/>
          <w:b/>
          <w:sz w:val="28"/>
          <w:szCs w:val="28"/>
          <w:lang w:val="es-ES_tradnl"/>
        </w:rPr>
        <w:t>DE CONTROL INTERNO CONTABLE</w:t>
      </w: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Default="005876BB" w:rsidP="00656F9F">
      <w:pPr>
        <w:jc w:val="center"/>
        <w:outlineLvl w:val="0"/>
        <w:rPr>
          <w:rFonts w:ascii="Arial" w:hAnsi="Arial" w:cs="Arial"/>
          <w:b/>
          <w:sz w:val="28"/>
          <w:szCs w:val="28"/>
          <w:lang w:val="es-ES_tradnl"/>
        </w:rPr>
      </w:pPr>
    </w:p>
    <w:p w:rsidR="005B45D1" w:rsidRPr="00C63F3F" w:rsidRDefault="005B45D1"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rPr>
          <w:rFonts w:ascii="Arial" w:hAnsi="Arial" w:cs="Arial"/>
          <w:b/>
          <w:sz w:val="28"/>
          <w:szCs w:val="28"/>
          <w:lang w:val="es-ES_tradnl"/>
        </w:rPr>
      </w:pPr>
    </w:p>
    <w:p w:rsidR="005876BB" w:rsidRPr="00C63F3F" w:rsidRDefault="005876BB" w:rsidP="00656F9F">
      <w:pPr>
        <w:jc w:val="center"/>
        <w:rPr>
          <w:rFonts w:ascii="Arial" w:hAnsi="Arial" w:cs="Arial"/>
          <w:b/>
          <w:sz w:val="28"/>
          <w:szCs w:val="28"/>
          <w:lang w:val="es-ES_tradnl"/>
        </w:rPr>
      </w:pPr>
      <w:r w:rsidRPr="00C63F3F">
        <w:rPr>
          <w:rFonts w:ascii="Arial" w:hAnsi="Arial" w:cs="Arial"/>
          <w:b/>
          <w:sz w:val="28"/>
          <w:szCs w:val="28"/>
          <w:lang w:val="es-ES_tradnl"/>
        </w:rPr>
        <w:t>PERIODO DE ENERO A DICIEMBRE DE 201</w:t>
      </w:r>
      <w:r w:rsidR="0000257C">
        <w:rPr>
          <w:rFonts w:ascii="Arial" w:hAnsi="Arial" w:cs="Arial"/>
          <w:b/>
          <w:sz w:val="28"/>
          <w:szCs w:val="28"/>
          <w:lang w:val="es-ES_tradnl"/>
        </w:rPr>
        <w:t>7</w:t>
      </w: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DA0416" w:rsidP="00656F9F">
      <w:pPr>
        <w:jc w:val="center"/>
        <w:rPr>
          <w:rFonts w:ascii="Arial" w:hAnsi="Arial" w:cs="Arial"/>
          <w:b/>
          <w:sz w:val="28"/>
          <w:szCs w:val="28"/>
          <w:lang w:val="es-ES_tradnl"/>
        </w:rPr>
      </w:pPr>
      <w:r>
        <w:rPr>
          <w:rFonts w:ascii="Arial" w:hAnsi="Arial" w:cs="Arial"/>
          <w:b/>
          <w:sz w:val="28"/>
          <w:szCs w:val="28"/>
          <w:lang w:val="es-ES_tradnl"/>
        </w:rPr>
        <w:t>GIT</w:t>
      </w:r>
      <w:r w:rsidR="005876BB" w:rsidRPr="00C63F3F">
        <w:rPr>
          <w:rFonts w:ascii="Arial" w:hAnsi="Arial" w:cs="Arial"/>
          <w:b/>
          <w:sz w:val="28"/>
          <w:szCs w:val="28"/>
          <w:lang w:val="es-ES_tradnl"/>
        </w:rPr>
        <w:t xml:space="preserve"> DE CONTROL INTERNO</w:t>
      </w:r>
    </w:p>
    <w:p w:rsidR="005876BB" w:rsidRPr="00C63F3F" w:rsidRDefault="005876BB" w:rsidP="00656F9F">
      <w:pPr>
        <w:jc w:val="center"/>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outlineLvl w:val="0"/>
        <w:rPr>
          <w:rFonts w:ascii="Arial" w:hAnsi="Arial" w:cs="Arial"/>
          <w:b/>
          <w:sz w:val="28"/>
          <w:szCs w:val="28"/>
          <w:lang w:val="es-ES_tradnl"/>
        </w:rPr>
      </w:pPr>
    </w:p>
    <w:p w:rsidR="005876BB" w:rsidRPr="00C63F3F" w:rsidRDefault="005876BB" w:rsidP="00656F9F">
      <w:pPr>
        <w:jc w:val="center"/>
        <w:rPr>
          <w:rFonts w:ascii="Arial" w:hAnsi="Arial" w:cs="Arial"/>
          <w:b/>
          <w:sz w:val="28"/>
          <w:szCs w:val="28"/>
          <w:lang w:val="es-ES_tradnl"/>
        </w:rPr>
      </w:pPr>
      <w:r w:rsidRPr="00C63F3F">
        <w:rPr>
          <w:rFonts w:ascii="Arial" w:hAnsi="Arial" w:cs="Arial"/>
          <w:b/>
          <w:sz w:val="28"/>
          <w:szCs w:val="28"/>
          <w:lang w:val="es-ES_tradnl"/>
        </w:rPr>
        <w:t>Bogotá D. C., febrero 28 de 201</w:t>
      </w:r>
      <w:r w:rsidR="0000257C">
        <w:rPr>
          <w:rFonts w:ascii="Arial" w:hAnsi="Arial" w:cs="Arial"/>
          <w:b/>
          <w:sz w:val="28"/>
          <w:szCs w:val="28"/>
          <w:lang w:val="es-ES_tradnl"/>
        </w:rPr>
        <w:t>8</w:t>
      </w:r>
    </w:p>
    <w:p w:rsidR="005876BB" w:rsidRPr="00C63F3F" w:rsidRDefault="005876BB" w:rsidP="00656F9F">
      <w:pPr>
        <w:jc w:val="center"/>
        <w:rPr>
          <w:rFonts w:ascii="Arial" w:hAnsi="Arial" w:cs="Arial"/>
          <w:b/>
          <w:lang w:val="es-ES_tradnl"/>
        </w:rPr>
      </w:pPr>
    </w:p>
    <w:p w:rsidR="005876BB" w:rsidRPr="00C63F3F" w:rsidRDefault="005876BB" w:rsidP="00656F9F">
      <w:pPr>
        <w:jc w:val="center"/>
        <w:rPr>
          <w:rFonts w:ascii="Arial" w:hAnsi="Arial" w:cs="Arial"/>
          <w:b/>
          <w:lang w:val="es-ES_tradnl"/>
        </w:rPr>
      </w:pPr>
    </w:p>
    <w:p w:rsidR="005876BB" w:rsidRPr="00C63F3F" w:rsidRDefault="005876BB" w:rsidP="00656F9F">
      <w:pPr>
        <w:jc w:val="center"/>
        <w:rPr>
          <w:rFonts w:ascii="Arial" w:hAnsi="Arial" w:cs="Arial"/>
          <w:b/>
        </w:rPr>
      </w:pPr>
    </w:p>
    <w:p w:rsidR="005876BB" w:rsidRDefault="005876BB" w:rsidP="00656F9F">
      <w:pPr>
        <w:jc w:val="center"/>
        <w:rPr>
          <w:rFonts w:ascii="Arial" w:hAnsi="Arial" w:cs="Arial"/>
          <w:b/>
        </w:rPr>
      </w:pPr>
    </w:p>
    <w:p w:rsidR="00C63F3F" w:rsidRDefault="00C63F3F" w:rsidP="00656F9F">
      <w:pPr>
        <w:jc w:val="center"/>
        <w:rPr>
          <w:rFonts w:ascii="Arial" w:hAnsi="Arial" w:cs="Arial"/>
          <w:b/>
        </w:rPr>
      </w:pPr>
    </w:p>
    <w:p w:rsidR="00C63F3F" w:rsidRDefault="00C63F3F" w:rsidP="00656F9F">
      <w:pPr>
        <w:jc w:val="center"/>
        <w:rPr>
          <w:rFonts w:ascii="Arial" w:hAnsi="Arial" w:cs="Arial"/>
          <w:b/>
        </w:rPr>
      </w:pPr>
    </w:p>
    <w:p w:rsidR="00C63F3F" w:rsidRPr="00C63F3F" w:rsidRDefault="00C63F3F" w:rsidP="00656F9F">
      <w:pPr>
        <w:jc w:val="center"/>
        <w:rPr>
          <w:rFonts w:ascii="Arial" w:hAnsi="Arial" w:cs="Arial"/>
          <w:b/>
        </w:rPr>
      </w:pPr>
    </w:p>
    <w:p w:rsidR="005876BB" w:rsidRPr="00C63F3F" w:rsidRDefault="005876BB" w:rsidP="00656F9F">
      <w:pPr>
        <w:ind w:left="360" w:hanging="360"/>
        <w:rPr>
          <w:rFonts w:ascii="Arial" w:hAnsi="Arial" w:cs="Arial"/>
          <w:b/>
        </w:rPr>
      </w:pPr>
      <w:r w:rsidRPr="00C63F3F">
        <w:rPr>
          <w:rFonts w:ascii="Arial" w:hAnsi="Arial" w:cs="Arial"/>
          <w:b/>
        </w:rPr>
        <w:t>I.</w:t>
      </w:r>
      <w:r w:rsidRPr="00C63F3F">
        <w:rPr>
          <w:rFonts w:ascii="Arial" w:hAnsi="Arial" w:cs="Arial"/>
          <w:b/>
        </w:rPr>
        <w:tab/>
        <w:t>INTRODUCCIÓN</w:t>
      </w:r>
    </w:p>
    <w:p w:rsidR="005876BB" w:rsidRPr="00C63F3F" w:rsidRDefault="005876BB" w:rsidP="00656F9F">
      <w:pPr>
        <w:jc w:val="both"/>
        <w:rPr>
          <w:rFonts w:ascii="Arial" w:hAnsi="Arial" w:cs="Arial"/>
        </w:rPr>
      </w:pPr>
    </w:p>
    <w:p w:rsidR="005876BB" w:rsidRPr="00C63F3F" w:rsidRDefault="005876BB" w:rsidP="00656F9F">
      <w:pPr>
        <w:jc w:val="both"/>
        <w:rPr>
          <w:rFonts w:ascii="Arial" w:hAnsi="Arial" w:cs="Arial"/>
          <w:color w:val="000000"/>
          <w:szCs w:val="22"/>
        </w:rPr>
      </w:pPr>
      <w:r w:rsidRPr="005B45D1">
        <w:rPr>
          <w:rFonts w:ascii="Arial" w:hAnsi="Arial" w:cs="Arial"/>
          <w:szCs w:val="22"/>
        </w:rPr>
        <w:t xml:space="preserve">En cumplimiento de las Resoluciones 357 de 2008, expedidas por la Contaduría General de la Nación – CGN </w:t>
      </w:r>
      <w:r w:rsidRPr="00C63F3F">
        <w:rPr>
          <w:rFonts w:ascii="Arial" w:hAnsi="Arial" w:cs="Arial"/>
          <w:i/>
          <w:color w:val="000000"/>
          <w:szCs w:val="22"/>
        </w:rPr>
        <w:t>“</w:t>
      </w:r>
      <w:r w:rsidRPr="00C63F3F">
        <w:rPr>
          <w:rFonts w:ascii="Arial" w:hAnsi="Arial" w:cs="Arial"/>
          <w:i/>
          <w:color w:val="000000"/>
          <w:sz w:val="22"/>
          <w:szCs w:val="22"/>
        </w:rPr>
        <w:t>Por la cual se adopta el procedimiento de control interno contable y de reporte del informe anual de evaluación a la Contaduría General de la Nación</w:t>
      </w:r>
      <w:r w:rsidRPr="00C63F3F">
        <w:rPr>
          <w:rFonts w:ascii="Arial" w:hAnsi="Arial" w:cs="Arial"/>
          <w:color w:val="000000"/>
          <w:szCs w:val="22"/>
        </w:rPr>
        <w:t>”</w:t>
      </w:r>
      <w:r w:rsidRPr="00C63F3F">
        <w:rPr>
          <w:rFonts w:ascii="Arial" w:hAnsi="Arial" w:cs="Arial"/>
          <w:sz w:val="22"/>
          <w:szCs w:val="22"/>
        </w:rPr>
        <w:t xml:space="preserve">, </w:t>
      </w:r>
      <w:r w:rsidRPr="00C63F3F">
        <w:rPr>
          <w:rFonts w:ascii="Arial" w:hAnsi="Arial" w:cs="Arial"/>
        </w:rPr>
        <w:t xml:space="preserve">respecto de los Informes de Control Interno Contable para las Entidades Públicas que trata la Ley 87 de 1993, el Decreto 2145 de 1999 y la Resolución 042 de 2001; a continuación se presenta el Informe Anual de </w:t>
      </w:r>
      <w:r w:rsidRPr="00C63F3F">
        <w:rPr>
          <w:rFonts w:ascii="Arial" w:hAnsi="Arial" w:cs="Arial"/>
          <w:color w:val="000000"/>
        </w:rPr>
        <w:t xml:space="preserve">la CGN, de la evaluación cuantitativa </w:t>
      </w:r>
      <w:r w:rsidR="005B45D1">
        <w:rPr>
          <w:rFonts w:ascii="Arial" w:hAnsi="Arial" w:cs="Arial"/>
          <w:color w:val="000000"/>
        </w:rPr>
        <w:t xml:space="preserve"> </w:t>
      </w:r>
      <w:r w:rsidRPr="00C63F3F">
        <w:rPr>
          <w:rFonts w:ascii="Arial" w:hAnsi="Arial" w:cs="Arial"/>
          <w:color w:val="000000"/>
        </w:rPr>
        <w:t>realizada al proceso contable de la Entidad, para la vigencia 201</w:t>
      </w:r>
      <w:r w:rsidR="0000257C">
        <w:rPr>
          <w:rFonts w:ascii="Arial" w:hAnsi="Arial" w:cs="Arial"/>
          <w:color w:val="000000"/>
        </w:rPr>
        <w:t>7</w:t>
      </w:r>
      <w:r w:rsidRPr="00C63F3F">
        <w:rPr>
          <w:rFonts w:ascii="Arial" w:hAnsi="Arial" w:cs="Arial"/>
          <w:color w:val="000000"/>
          <w:szCs w:val="22"/>
        </w:rPr>
        <w:t xml:space="preserve">. </w:t>
      </w:r>
    </w:p>
    <w:p w:rsidR="005876BB" w:rsidRPr="00C63F3F" w:rsidRDefault="005876BB" w:rsidP="00656F9F">
      <w:pPr>
        <w:jc w:val="both"/>
        <w:rPr>
          <w:rFonts w:ascii="Arial" w:hAnsi="Arial" w:cs="Arial"/>
          <w:sz w:val="22"/>
          <w:szCs w:val="22"/>
        </w:rPr>
      </w:pPr>
    </w:p>
    <w:p w:rsidR="005876BB" w:rsidRPr="00C63F3F" w:rsidRDefault="005876BB" w:rsidP="00656F9F">
      <w:pPr>
        <w:jc w:val="both"/>
        <w:rPr>
          <w:rFonts w:ascii="Arial" w:hAnsi="Arial" w:cs="Arial"/>
          <w:szCs w:val="22"/>
        </w:rPr>
      </w:pPr>
      <w:r w:rsidRPr="00C63F3F">
        <w:rPr>
          <w:rFonts w:ascii="Arial" w:hAnsi="Arial" w:cs="Arial"/>
          <w:color w:val="000000"/>
          <w:szCs w:val="22"/>
          <w:lang w:val="es-ES_tradnl"/>
        </w:rPr>
        <w:t xml:space="preserve">Siguiendo lo anterior, para la evaluación del Sistema de Control Interno Contable, se acogieron </w:t>
      </w:r>
      <w:r w:rsidRPr="00C63F3F">
        <w:rPr>
          <w:rFonts w:ascii="Arial" w:hAnsi="Arial" w:cs="Arial"/>
          <w:szCs w:val="22"/>
        </w:rPr>
        <w:t xml:space="preserve">las disposiciones impartidas por el Modelo Estándar de Procedimientos para la Sostenibilidad del Sistema de Contabilidad Pública, incluidos en el ámbito de aplicación del Plan General de Contabilidad Pública, de conformidad con lo dispuesto en la Resolución 400 del año 2000 y en las demás normas que la modifiquen o sustituyan. </w:t>
      </w:r>
    </w:p>
    <w:p w:rsidR="005876BB" w:rsidRPr="00C63F3F" w:rsidRDefault="005876BB" w:rsidP="00656F9F">
      <w:pPr>
        <w:jc w:val="both"/>
        <w:rPr>
          <w:rFonts w:ascii="Arial" w:hAnsi="Arial" w:cs="Arial"/>
          <w:color w:val="000000"/>
          <w:szCs w:val="22"/>
        </w:rPr>
      </w:pPr>
    </w:p>
    <w:p w:rsidR="005876BB" w:rsidRPr="00C63F3F" w:rsidRDefault="005876BB" w:rsidP="00656F9F">
      <w:pPr>
        <w:autoSpaceDE w:val="0"/>
        <w:autoSpaceDN w:val="0"/>
        <w:adjustRightInd w:val="0"/>
        <w:jc w:val="both"/>
        <w:rPr>
          <w:rFonts w:ascii="Arial" w:hAnsi="Arial" w:cs="Arial"/>
          <w:sz w:val="22"/>
          <w:szCs w:val="22"/>
        </w:rPr>
      </w:pPr>
      <w:r w:rsidRPr="00C63F3F">
        <w:rPr>
          <w:rFonts w:ascii="Arial" w:hAnsi="Arial" w:cs="Arial"/>
          <w:szCs w:val="22"/>
        </w:rPr>
        <w:t>Por lo anterior, y en cumplimiento del artículo 3º, de la Resolución 357; en el cual se asigna a los Jefes de Control Interno, la responsabilidad de evaluar continuamente la implementación del control interno Contable, con el fin de asegurar y mantener la calidad de la información financiera, económica y social del ente público, a continuación se presenta el resultado de dicha evaluación para el período terminado a diciembre 31 de 201</w:t>
      </w:r>
      <w:r w:rsidR="0000257C">
        <w:rPr>
          <w:rFonts w:ascii="Arial" w:hAnsi="Arial" w:cs="Arial"/>
          <w:szCs w:val="22"/>
        </w:rPr>
        <w:t>7</w:t>
      </w:r>
      <w:r w:rsidRPr="00C63F3F">
        <w:rPr>
          <w:rFonts w:ascii="Arial" w:hAnsi="Arial" w:cs="Arial"/>
          <w:szCs w:val="22"/>
        </w:rPr>
        <w:t>.</w:t>
      </w:r>
    </w:p>
    <w:p w:rsidR="005876BB" w:rsidRPr="00C63F3F" w:rsidRDefault="005876BB" w:rsidP="00656F9F">
      <w:pPr>
        <w:jc w:val="both"/>
        <w:rPr>
          <w:rFonts w:ascii="Arial" w:hAnsi="Arial" w:cs="Arial"/>
          <w:color w:val="000000"/>
          <w:sz w:val="22"/>
          <w:szCs w:val="22"/>
        </w:rPr>
      </w:pPr>
    </w:p>
    <w:p w:rsidR="005876BB" w:rsidRPr="00C63F3F" w:rsidRDefault="005876BB" w:rsidP="00656F9F">
      <w:pPr>
        <w:jc w:val="both"/>
        <w:rPr>
          <w:rFonts w:ascii="Arial" w:hAnsi="Arial" w:cs="Arial"/>
          <w:color w:val="000000"/>
          <w:szCs w:val="22"/>
        </w:rPr>
      </w:pPr>
      <w:r w:rsidRPr="00C63F3F">
        <w:rPr>
          <w:rFonts w:ascii="Arial" w:hAnsi="Arial" w:cs="Arial"/>
          <w:color w:val="000000"/>
          <w:szCs w:val="22"/>
        </w:rPr>
        <w:t xml:space="preserve">En este sentido, en forma complementaria se realizó la evaluación cualitativa, a partir de identificación de las </w:t>
      </w:r>
      <w:r w:rsidRPr="00A55BF4">
        <w:rPr>
          <w:rFonts w:ascii="Arial" w:hAnsi="Arial" w:cs="Arial"/>
          <w:color w:val="000000" w:themeColor="text1"/>
          <w:szCs w:val="22"/>
        </w:rPr>
        <w:t>fortalezas, debilidades, avances obtenidos respecto de las evaluaciones y recomend</w:t>
      </w:r>
      <w:r w:rsidR="00A55BF4" w:rsidRPr="00A55BF4">
        <w:rPr>
          <w:rFonts w:ascii="Arial" w:hAnsi="Arial" w:cs="Arial"/>
          <w:color w:val="000000" w:themeColor="text1"/>
          <w:szCs w:val="22"/>
        </w:rPr>
        <w:t>aciones realizadas; así como, las</w:t>
      </w:r>
      <w:r w:rsidRPr="00A55BF4">
        <w:rPr>
          <w:rFonts w:ascii="Arial" w:hAnsi="Arial" w:cs="Arial"/>
          <w:color w:val="000000" w:themeColor="text1"/>
          <w:szCs w:val="22"/>
        </w:rPr>
        <w:t xml:space="preserve"> recomendaciones orientadas al fortalecimiento de los controles</w:t>
      </w:r>
      <w:r w:rsidR="00A55BF4">
        <w:rPr>
          <w:rFonts w:ascii="Arial" w:hAnsi="Arial" w:cs="Arial"/>
          <w:color w:val="FF0000"/>
          <w:szCs w:val="22"/>
        </w:rPr>
        <w:t>.</w:t>
      </w:r>
    </w:p>
    <w:p w:rsidR="005876BB" w:rsidRPr="00C63F3F" w:rsidRDefault="005876BB" w:rsidP="00656F9F">
      <w:pPr>
        <w:jc w:val="both"/>
        <w:rPr>
          <w:rFonts w:ascii="Arial" w:hAnsi="Arial" w:cs="Arial"/>
          <w:sz w:val="22"/>
          <w:szCs w:val="22"/>
        </w:rPr>
      </w:pPr>
    </w:p>
    <w:p w:rsidR="005876BB" w:rsidRPr="00C63F3F" w:rsidRDefault="005876BB" w:rsidP="00656F9F">
      <w:pPr>
        <w:tabs>
          <w:tab w:val="left" w:pos="360"/>
        </w:tabs>
        <w:ind w:left="357" w:hanging="357"/>
        <w:jc w:val="both"/>
        <w:rPr>
          <w:rFonts w:ascii="Arial" w:hAnsi="Arial" w:cs="Arial"/>
          <w:b/>
          <w:szCs w:val="22"/>
          <w:lang w:val="es-ES_tradnl"/>
        </w:rPr>
      </w:pPr>
      <w:r w:rsidRPr="00C63F3F">
        <w:rPr>
          <w:rFonts w:ascii="Arial" w:hAnsi="Arial" w:cs="Arial"/>
          <w:b/>
          <w:szCs w:val="22"/>
          <w:lang w:val="es-ES_tradnl"/>
        </w:rPr>
        <w:t>II.</w:t>
      </w:r>
      <w:r w:rsidRPr="00C63F3F">
        <w:rPr>
          <w:rFonts w:ascii="Arial" w:hAnsi="Arial" w:cs="Arial"/>
          <w:b/>
          <w:szCs w:val="22"/>
          <w:lang w:val="es-ES_tradnl"/>
        </w:rPr>
        <w:tab/>
        <w:t xml:space="preserve">CONCEPTO GENERAL DEL ESTADO DEL SISTEMA DE CONTROL INTERNO CONTABLE </w:t>
      </w:r>
    </w:p>
    <w:p w:rsidR="005876BB" w:rsidRPr="00C63F3F" w:rsidRDefault="005876BB" w:rsidP="00656F9F">
      <w:pPr>
        <w:tabs>
          <w:tab w:val="left" w:pos="360"/>
        </w:tabs>
        <w:ind w:left="357" w:hanging="357"/>
        <w:jc w:val="both"/>
        <w:rPr>
          <w:rFonts w:ascii="Arial" w:hAnsi="Arial" w:cs="Arial"/>
          <w:b/>
          <w:szCs w:val="22"/>
          <w:lang w:val="es-ES_tradnl"/>
        </w:rPr>
      </w:pPr>
    </w:p>
    <w:p w:rsidR="005876BB" w:rsidRPr="00C63F3F" w:rsidRDefault="005876BB" w:rsidP="00656F9F">
      <w:pPr>
        <w:jc w:val="both"/>
        <w:rPr>
          <w:rFonts w:ascii="Arial" w:hAnsi="Arial" w:cs="Arial"/>
          <w:szCs w:val="22"/>
          <w:lang w:val="es-ES_tradnl"/>
        </w:rPr>
      </w:pPr>
      <w:r w:rsidRPr="00C63F3F">
        <w:rPr>
          <w:rFonts w:ascii="Arial" w:hAnsi="Arial" w:cs="Arial"/>
          <w:szCs w:val="22"/>
          <w:lang w:val="es-ES_tradnl"/>
        </w:rPr>
        <w:t>La evaluación del Sistema de Control Interno Contable, se efectuó con base a en los parámetros establecidos en la resolución 357 de 2008 y la auditoría de la Gestión Financiera</w:t>
      </w:r>
      <w:r w:rsidR="005B45D1">
        <w:rPr>
          <w:rFonts w:ascii="Arial" w:hAnsi="Arial" w:cs="Arial"/>
          <w:szCs w:val="22"/>
          <w:lang w:val="es-ES_tradnl"/>
        </w:rPr>
        <w:t xml:space="preserve"> al proceso contable</w:t>
      </w:r>
      <w:r w:rsidRPr="00C63F3F">
        <w:rPr>
          <w:rFonts w:ascii="Arial" w:hAnsi="Arial" w:cs="Arial"/>
          <w:szCs w:val="22"/>
          <w:lang w:val="es-ES_tradnl"/>
        </w:rPr>
        <w:t>; producto de esta evaluación, a continuación se presentan los resultados en forma cuantitativa y cualitativa.</w:t>
      </w:r>
    </w:p>
    <w:p w:rsidR="005876BB" w:rsidRPr="00C63F3F" w:rsidRDefault="005876BB" w:rsidP="00656F9F">
      <w:pPr>
        <w:jc w:val="both"/>
        <w:rPr>
          <w:rFonts w:ascii="Arial" w:hAnsi="Arial" w:cs="Arial"/>
          <w:szCs w:val="22"/>
          <w:lang w:val="es-ES_tradnl"/>
        </w:rPr>
      </w:pPr>
    </w:p>
    <w:p w:rsidR="005876BB" w:rsidRDefault="005876BB" w:rsidP="00656F9F">
      <w:pPr>
        <w:jc w:val="both"/>
        <w:rPr>
          <w:rFonts w:ascii="Arial" w:hAnsi="Arial" w:cs="Arial"/>
          <w:szCs w:val="22"/>
          <w:lang w:val="es-ES_tradnl"/>
        </w:rPr>
      </w:pPr>
      <w:r w:rsidRPr="00C63F3F">
        <w:rPr>
          <w:rFonts w:ascii="Arial" w:hAnsi="Arial" w:cs="Arial"/>
          <w:szCs w:val="22"/>
          <w:lang w:val="es-ES_tradnl"/>
        </w:rPr>
        <w:t>Los</w:t>
      </w:r>
      <w:r w:rsidR="008B560F">
        <w:rPr>
          <w:rFonts w:ascii="Arial" w:hAnsi="Arial" w:cs="Arial"/>
          <w:szCs w:val="22"/>
          <w:lang w:val="es-ES_tradnl"/>
        </w:rPr>
        <w:t xml:space="preserve"> exámenes y revisiones efectuado</w:t>
      </w:r>
      <w:r w:rsidRPr="00C63F3F">
        <w:rPr>
          <w:rFonts w:ascii="Arial" w:hAnsi="Arial" w:cs="Arial"/>
          <w:szCs w:val="22"/>
          <w:lang w:val="es-ES_tradnl"/>
        </w:rPr>
        <w:t>s se realizaron de conformidad con las Normas de Auditoría Generalmente Aceptadas en Colombia y sobre la base de pruebas selectivas; por lo anterior, no se pueden identificar todas las deficiencias de control que pudieren existir en los diferentes procesos de la Entidad; sino solamente aquellas detectadas dentro de las muestras evaluadas.</w:t>
      </w:r>
    </w:p>
    <w:p w:rsidR="005B45D1" w:rsidRDefault="005B45D1" w:rsidP="00656F9F">
      <w:pPr>
        <w:jc w:val="both"/>
        <w:rPr>
          <w:rFonts w:ascii="Arial" w:hAnsi="Arial" w:cs="Arial"/>
          <w:szCs w:val="22"/>
          <w:lang w:val="es-ES_tradnl"/>
        </w:rPr>
      </w:pPr>
    </w:p>
    <w:p w:rsidR="005B45D1" w:rsidRDefault="005B45D1" w:rsidP="00656F9F">
      <w:pPr>
        <w:jc w:val="both"/>
        <w:rPr>
          <w:rFonts w:ascii="Arial" w:hAnsi="Arial" w:cs="Arial"/>
          <w:szCs w:val="22"/>
          <w:lang w:val="es-ES_tradnl"/>
        </w:rPr>
      </w:pPr>
    </w:p>
    <w:p w:rsidR="005B45D1" w:rsidRPr="00C63F3F" w:rsidRDefault="005B45D1" w:rsidP="00656F9F">
      <w:pPr>
        <w:jc w:val="both"/>
        <w:rPr>
          <w:rFonts w:ascii="Arial" w:hAnsi="Arial" w:cs="Arial"/>
          <w:szCs w:val="22"/>
          <w:lang w:val="es-ES_tradnl"/>
        </w:rPr>
      </w:pPr>
    </w:p>
    <w:p w:rsidR="005876BB" w:rsidRPr="00C63F3F" w:rsidRDefault="005876BB" w:rsidP="00656F9F">
      <w:pPr>
        <w:jc w:val="both"/>
        <w:rPr>
          <w:rFonts w:ascii="Arial" w:hAnsi="Arial" w:cs="Arial"/>
          <w:sz w:val="22"/>
          <w:szCs w:val="22"/>
          <w:lang w:val="es-ES_tradnl"/>
        </w:rPr>
      </w:pPr>
    </w:p>
    <w:p w:rsidR="005876BB" w:rsidRPr="00C63F3F" w:rsidRDefault="005876BB" w:rsidP="00656F9F">
      <w:pPr>
        <w:jc w:val="both"/>
        <w:rPr>
          <w:rFonts w:ascii="Arial" w:hAnsi="Arial" w:cs="Arial"/>
          <w:b/>
          <w:color w:val="000000"/>
          <w:szCs w:val="22"/>
          <w:lang w:val="es-ES_tradnl"/>
        </w:rPr>
      </w:pPr>
      <w:r w:rsidRPr="00C63F3F">
        <w:rPr>
          <w:rFonts w:ascii="Arial" w:hAnsi="Arial" w:cs="Arial"/>
          <w:b/>
          <w:color w:val="000000"/>
          <w:szCs w:val="22"/>
          <w:lang w:val="es-ES_tradnl"/>
        </w:rPr>
        <w:lastRenderedPageBreak/>
        <w:t>EVALUACIÓN CUANTITATIVA</w:t>
      </w:r>
    </w:p>
    <w:p w:rsidR="005876BB" w:rsidRPr="00C63F3F" w:rsidRDefault="005876BB" w:rsidP="00656F9F">
      <w:pPr>
        <w:jc w:val="both"/>
        <w:rPr>
          <w:rFonts w:ascii="Arial" w:hAnsi="Arial" w:cs="Arial"/>
          <w:sz w:val="22"/>
          <w:szCs w:val="22"/>
          <w:lang w:val="es-ES_tradnl"/>
        </w:rPr>
      </w:pPr>
    </w:p>
    <w:p w:rsidR="005876BB" w:rsidRPr="00C63F3F" w:rsidRDefault="005876BB" w:rsidP="00656F9F">
      <w:pPr>
        <w:jc w:val="both"/>
        <w:rPr>
          <w:rFonts w:ascii="Arial" w:hAnsi="Arial" w:cs="Arial"/>
          <w:szCs w:val="22"/>
          <w:lang w:val="es-ES_tradnl"/>
        </w:rPr>
      </w:pPr>
      <w:r w:rsidRPr="00C63F3F">
        <w:rPr>
          <w:rFonts w:ascii="Arial" w:hAnsi="Arial" w:cs="Arial"/>
          <w:szCs w:val="22"/>
          <w:lang w:val="es-ES_tradnl"/>
        </w:rPr>
        <w:t>Se efectuó la evaluación del SCI Contable, por medio de una encuesta establecida en la norma en mención; asignando una calificación a cada pregunta asociada a la</w:t>
      </w:r>
      <w:r w:rsidR="005B45D1">
        <w:rPr>
          <w:rFonts w:ascii="Arial" w:hAnsi="Arial" w:cs="Arial"/>
          <w:szCs w:val="22"/>
          <w:lang w:val="es-ES_tradnl"/>
        </w:rPr>
        <w:t xml:space="preserve"> </w:t>
      </w:r>
      <w:r w:rsidRPr="00C63F3F">
        <w:rPr>
          <w:rFonts w:ascii="Arial" w:hAnsi="Arial" w:cs="Arial"/>
          <w:szCs w:val="22"/>
          <w:lang w:val="es-ES_tradnl"/>
        </w:rPr>
        <w:t>etapa y actividad que comprende el proceso contable; producto de esta evaluación, se presenta el grado de cumplimiento y efectividad de cada acc</w:t>
      </w:r>
      <w:r w:rsidR="0060382B" w:rsidRPr="00C63F3F">
        <w:rPr>
          <w:rFonts w:ascii="Arial" w:hAnsi="Arial" w:cs="Arial"/>
          <w:szCs w:val="22"/>
          <w:lang w:val="es-ES_tradnl"/>
        </w:rPr>
        <w:t>ión de control.</w:t>
      </w:r>
    </w:p>
    <w:p w:rsidR="005876BB" w:rsidRPr="00C63F3F" w:rsidRDefault="005876BB" w:rsidP="00656F9F">
      <w:pPr>
        <w:jc w:val="both"/>
        <w:rPr>
          <w:rFonts w:ascii="Arial" w:hAnsi="Arial" w:cs="Arial"/>
          <w:sz w:val="22"/>
          <w:szCs w:val="22"/>
          <w:lang w:val="es-ES_tradnl"/>
        </w:rPr>
      </w:pPr>
    </w:p>
    <w:p w:rsidR="005876BB" w:rsidRPr="00C63F3F" w:rsidRDefault="005876BB" w:rsidP="00656F9F">
      <w:pPr>
        <w:jc w:val="both"/>
        <w:rPr>
          <w:rFonts w:ascii="Arial" w:hAnsi="Arial" w:cs="Arial"/>
          <w:szCs w:val="22"/>
          <w:lang w:val="es-ES_tradnl"/>
        </w:rPr>
      </w:pPr>
      <w:r w:rsidRPr="00C63F3F">
        <w:rPr>
          <w:rFonts w:ascii="Arial" w:hAnsi="Arial" w:cs="Arial"/>
          <w:szCs w:val="22"/>
          <w:lang w:val="es-ES_tradnl"/>
        </w:rPr>
        <w:t>De acuerdo a la calificación total del SCI contable en el año 201</w:t>
      </w:r>
      <w:r w:rsidR="0000257C">
        <w:rPr>
          <w:rFonts w:ascii="Arial" w:hAnsi="Arial" w:cs="Arial"/>
          <w:szCs w:val="22"/>
          <w:lang w:val="es-ES_tradnl"/>
        </w:rPr>
        <w:t>7</w:t>
      </w:r>
      <w:r w:rsidRPr="00C63F3F">
        <w:rPr>
          <w:rFonts w:ascii="Arial" w:hAnsi="Arial" w:cs="Arial"/>
          <w:szCs w:val="22"/>
          <w:lang w:val="es-ES_tradnl"/>
        </w:rPr>
        <w:t xml:space="preserve">, y teniendo en cuenta los criterios establecidos en la resolución 357 de 2008, el Sistema de Control Interno Contable </w:t>
      </w:r>
      <w:r w:rsidR="0060382B" w:rsidRPr="00C63F3F">
        <w:rPr>
          <w:rFonts w:ascii="Arial" w:hAnsi="Arial" w:cs="Arial"/>
          <w:szCs w:val="22"/>
          <w:lang w:val="es-ES_tradnl"/>
        </w:rPr>
        <w:t>para la vigencia de evaluación</w:t>
      </w:r>
      <w:r w:rsidR="005B45D1">
        <w:rPr>
          <w:rFonts w:ascii="Arial" w:hAnsi="Arial" w:cs="Arial"/>
          <w:szCs w:val="22"/>
          <w:lang w:val="es-ES_tradnl"/>
        </w:rPr>
        <w:t>,</w:t>
      </w:r>
      <w:r w:rsidR="0060382B" w:rsidRPr="00C63F3F">
        <w:rPr>
          <w:rFonts w:ascii="Arial" w:hAnsi="Arial" w:cs="Arial"/>
          <w:szCs w:val="22"/>
          <w:lang w:val="es-ES_tradnl"/>
        </w:rPr>
        <w:t xml:space="preserve"> </w:t>
      </w:r>
      <w:r w:rsidRPr="00C63F3F">
        <w:rPr>
          <w:rFonts w:ascii="Arial" w:hAnsi="Arial" w:cs="Arial"/>
          <w:szCs w:val="22"/>
          <w:lang w:val="es-ES_tradnl"/>
        </w:rPr>
        <w:t xml:space="preserve">se </w:t>
      </w:r>
      <w:r w:rsidRPr="00330F10">
        <w:rPr>
          <w:rFonts w:ascii="Arial" w:hAnsi="Arial" w:cs="Arial"/>
          <w:szCs w:val="22"/>
          <w:lang w:val="es-ES_tradnl"/>
        </w:rPr>
        <w:t xml:space="preserve">encuentra </w:t>
      </w:r>
      <w:r w:rsidR="009571A8" w:rsidRPr="00330F10">
        <w:rPr>
          <w:rFonts w:ascii="Arial" w:hAnsi="Arial" w:cs="Arial"/>
          <w:szCs w:val="22"/>
          <w:lang w:val="es-ES_tradnl"/>
        </w:rPr>
        <w:t xml:space="preserve">dentro del rango </w:t>
      </w:r>
      <w:r w:rsidRPr="00330F10">
        <w:rPr>
          <w:rFonts w:ascii="Arial" w:hAnsi="Arial" w:cs="Arial"/>
          <w:szCs w:val="22"/>
          <w:lang w:val="es-ES_tradnl"/>
        </w:rPr>
        <w:t>máximo definido</w:t>
      </w:r>
      <w:r w:rsidR="009571A8" w:rsidRPr="00330F10">
        <w:rPr>
          <w:rFonts w:ascii="Arial" w:hAnsi="Arial" w:cs="Arial"/>
          <w:szCs w:val="22"/>
          <w:lang w:val="es-ES_tradnl"/>
        </w:rPr>
        <w:t xml:space="preserve"> por el procedimiento con una calificación de </w:t>
      </w:r>
      <w:r w:rsidR="00C63F3F" w:rsidRPr="00330F10">
        <w:rPr>
          <w:rFonts w:ascii="Arial" w:hAnsi="Arial" w:cs="Arial"/>
          <w:szCs w:val="22"/>
          <w:lang w:val="es-ES_tradnl"/>
        </w:rPr>
        <w:t>4</w:t>
      </w:r>
      <w:r w:rsidR="005D0C96" w:rsidRPr="00330F10">
        <w:rPr>
          <w:rFonts w:ascii="Arial" w:hAnsi="Arial" w:cs="Arial"/>
          <w:szCs w:val="22"/>
          <w:lang w:val="es-ES_tradnl"/>
        </w:rPr>
        <w:t>.</w:t>
      </w:r>
      <w:r w:rsidR="00816DDD">
        <w:rPr>
          <w:rFonts w:ascii="Arial" w:hAnsi="Arial" w:cs="Arial"/>
          <w:szCs w:val="22"/>
          <w:lang w:val="es-ES_tradnl"/>
        </w:rPr>
        <w:t>70</w:t>
      </w:r>
      <w:bookmarkStart w:id="0" w:name="_GoBack"/>
      <w:bookmarkEnd w:id="0"/>
      <w:r w:rsidRPr="00330F10">
        <w:rPr>
          <w:rFonts w:ascii="Arial" w:hAnsi="Arial" w:cs="Arial"/>
          <w:szCs w:val="22"/>
          <w:lang w:val="es-ES_tradnl"/>
        </w:rPr>
        <w:t>; siendo</w:t>
      </w:r>
      <w:r w:rsidRPr="00C63F3F">
        <w:rPr>
          <w:rFonts w:ascii="Arial" w:hAnsi="Arial" w:cs="Arial"/>
          <w:szCs w:val="22"/>
          <w:lang w:val="es-ES_tradnl"/>
        </w:rPr>
        <w:t xml:space="preserve"> este ADECUADO</w:t>
      </w:r>
      <w:r w:rsidR="00C043D6">
        <w:rPr>
          <w:rFonts w:ascii="Arial" w:hAnsi="Arial" w:cs="Arial"/>
          <w:szCs w:val="22"/>
          <w:lang w:val="es-ES_tradnl"/>
        </w:rPr>
        <w:t>, la encuesta y auditoría hacen parte integral de este informe</w:t>
      </w:r>
      <w:r w:rsidRPr="00C63F3F">
        <w:rPr>
          <w:rFonts w:ascii="Arial" w:hAnsi="Arial" w:cs="Arial"/>
          <w:szCs w:val="22"/>
          <w:lang w:val="es-ES_tradnl"/>
        </w:rPr>
        <w:t>.</w:t>
      </w:r>
    </w:p>
    <w:p w:rsidR="0060382B" w:rsidRPr="00816DDD" w:rsidRDefault="0060382B" w:rsidP="00656F9F">
      <w:pPr>
        <w:jc w:val="both"/>
        <w:rPr>
          <w:rFonts w:ascii="Arial" w:hAnsi="Arial" w:cs="Arial"/>
          <w:szCs w:val="22"/>
          <w:lang w:val="es-ES_tradnl"/>
        </w:rPr>
      </w:pPr>
    </w:p>
    <w:p w:rsidR="0000257C" w:rsidRDefault="00816DDD" w:rsidP="00656F9F">
      <w:pPr>
        <w:jc w:val="both"/>
      </w:pPr>
      <w:r w:rsidRPr="00816DDD">
        <w:drawing>
          <wp:inline distT="0" distB="0" distL="0" distR="0" wp14:anchorId="23DF8637" wp14:editId="512CAC1E">
            <wp:extent cx="5666670" cy="2118946"/>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1185" cy="2120634"/>
                    </a:xfrm>
                    <a:prstGeom prst="rect">
                      <a:avLst/>
                    </a:prstGeom>
                    <a:noFill/>
                    <a:ln>
                      <a:noFill/>
                    </a:ln>
                  </pic:spPr>
                </pic:pic>
              </a:graphicData>
            </a:graphic>
          </wp:inline>
        </w:drawing>
      </w:r>
    </w:p>
    <w:p w:rsidR="0000257C" w:rsidRDefault="0000257C" w:rsidP="00656F9F">
      <w:pPr>
        <w:jc w:val="both"/>
        <w:rPr>
          <w:rFonts w:ascii="Arial" w:hAnsi="Arial" w:cs="Arial"/>
          <w:color w:val="000000"/>
          <w:sz w:val="22"/>
          <w:szCs w:val="22"/>
        </w:rPr>
      </w:pPr>
    </w:p>
    <w:p w:rsidR="00C63F3F" w:rsidRPr="00C63F3F" w:rsidRDefault="00C63F3F" w:rsidP="00656F9F">
      <w:pPr>
        <w:jc w:val="both"/>
        <w:rPr>
          <w:rFonts w:ascii="Arial" w:hAnsi="Arial" w:cs="Arial"/>
          <w:b/>
          <w:color w:val="000000"/>
          <w:szCs w:val="22"/>
          <w:lang w:val="es-ES_tradnl"/>
        </w:rPr>
      </w:pPr>
      <w:r w:rsidRPr="00C63F3F">
        <w:rPr>
          <w:rFonts w:ascii="Arial" w:hAnsi="Arial" w:cs="Arial"/>
          <w:b/>
          <w:color w:val="000000"/>
          <w:szCs w:val="22"/>
          <w:lang w:val="es-ES_tradnl"/>
        </w:rPr>
        <w:t>EVALUACIÓN CUALITATIVA</w:t>
      </w:r>
    </w:p>
    <w:p w:rsidR="00C63F3F" w:rsidRPr="00C63F3F" w:rsidRDefault="00C63F3F" w:rsidP="00656F9F">
      <w:pPr>
        <w:jc w:val="both"/>
        <w:rPr>
          <w:rFonts w:ascii="Arial" w:hAnsi="Arial" w:cs="Arial"/>
          <w:strike/>
          <w:sz w:val="22"/>
          <w:szCs w:val="22"/>
          <w:lang w:val="es-ES_tradnl"/>
        </w:rPr>
      </w:pPr>
    </w:p>
    <w:p w:rsidR="00C63F3F" w:rsidRPr="00C63F3F" w:rsidRDefault="00C63F3F" w:rsidP="00656F9F">
      <w:pPr>
        <w:jc w:val="both"/>
        <w:rPr>
          <w:rFonts w:ascii="Arial" w:hAnsi="Arial" w:cs="Arial"/>
          <w:sz w:val="22"/>
          <w:szCs w:val="22"/>
          <w:lang w:val="es-ES_tradnl"/>
        </w:rPr>
      </w:pPr>
      <w:r w:rsidRPr="00C63F3F">
        <w:rPr>
          <w:rFonts w:ascii="Arial" w:hAnsi="Arial" w:cs="Arial"/>
          <w:szCs w:val="22"/>
          <w:lang w:val="es-ES_tradnl"/>
        </w:rPr>
        <w:t xml:space="preserve">De acuerdo a las actividades ejecutadas en el Proceso Contable, los manuales y procedimientos vigentes y la evaluación realizada por </w:t>
      </w:r>
      <w:r w:rsidR="00DA0416">
        <w:rPr>
          <w:rFonts w:ascii="Arial" w:hAnsi="Arial" w:cs="Arial"/>
          <w:szCs w:val="22"/>
          <w:lang w:val="es-ES_tradnl"/>
        </w:rPr>
        <w:t>el GIT</w:t>
      </w:r>
      <w:r w:rsidRPr="00C63F3F">
        <w:rPr>
          <w:rFonts w:ascii="Arial" w:hAnsi="Arial" w:cs="Arial"/>
          <w:szCs w:val="22"/>
          <w:lang w:val="es-ES_tradnl"/>
        </w:rPr>
        <w:t xml:space="preserve"> de Control Interno en la auditoría para la </w:t>
      </w:r>
      <w:r w:rsidRPr="00330F10">
        <w:rPr>
          <w:rFonts w:ascii="Arial" w:hAnsi="Arial" w:cs="Arial"/>
          <w:szCs w:val="22"/>
          <w:lang w:val="es-ES_tradnl"/>
        </w:rPr>
        <w:t xml:space="preserve">vigencia </w:t>
      </w:r>
      <w:r w:rsidR="00236C6A" w:rsidRPr="00330F10">
        <w:rPr>
          <w:rFonts w:ascii="Arial" w:hAnsi="Arial" w:cs="Arial"/>
          <w:szCs w:val="22"/>
          <w:lang w:val="es-ES_tradnl"/>
        </w:rPr>
        <w:t>2017</w:t>
      </w:r>
      <w:r w:rsidRPr="00330F10">
        <w:rPr>
          <w:rFonts w:ascii="Arial" w:hAnsi="Arial" w:cs="Arial"/>
          <w:szCs w:val="22"/>
          <w:lang w:val="es-ES_tradnl"/>
        </w:rPr>
        <w:t>, a</w:t>
      </w:r>
      <w:r w:rsidRPr="00C63F3F">
        <w:rPr>
          <w:rFonts w:ascii="Arial" w:hAnsi="Arial" w:cs="Arial"/>
          <w:szCs w:val="22"/>
          <w:lang w:val="es-ES_tradnl"/>
        </w:rPr>
        <w:t xml:space="preserve"> continuación se presenta en forma resumida las fortalezas y debilidades; así como, el Estado General de Control Interno Contable</w:t>
      </w:r>
      <w:r w:rsidRPr="00C63F3F">
        <w:rPr>
          <w:rFonts w:ascii="Arial" w:hAnsi="Arial" w:cs="Arial"/>
          <w:sz w:val="22"/>
          <w:szCs w:val="22"/>
          <w:lang w:val="es-ES_tradnl"/>
        </w:rPr>
        <w:t>:</w:t>
      </w:r>
    </w:p>
    <w:p w:rsidR="009734A7" w:rsidRPr="00C63F3F" w:rsidRDefault="009734A7" w:rsidP="00656F9F">
      <w:pPr>
        <w:jc w:val="both"/>
        <w:rPr>
          <w:rFonts w:ascii="Arial" w:hAnsi="Arial" w:cs="Arial"/>
          <w:color w:val="000000"/>
          <w:sz w:val="22"/>
          <w:szCs w:val="22"/>
        </w:rPr>
      </w:pPr>
    </w:p>
    <w:p w:rsidR="0020513A" w:rsidRPr="00C63F3F" w:rsidRDefault="0020513A" w:rsidP="00656F9F">
      <w:pPr>
        <w:outlineLvl w:val="0"/>
        <w:rPr>
          <w:rFonts w:ascii="Arial" w:hAnsi="Arial" w:cs="Arial"/>
          <w:b/>
          <w:bCs/>
          <w:color w:val="000000"/>
        </w:rPr>
      </w:pPr>
      <w:r w:rsidRPr="00C63F3F">
        <w:rPr>
          <w:rFonts w:ascii="Arial" w:hAnsi="Arial" w:cs="Arial"/>
          <w:b/>
          <w:bCs/>
          <w:color w:val="000000"/>
        </w:rPr>
        <w:t>FORTALEZAS</w:t>
      </w:r>
    </w:p>
    <w:p w:rsidR="009734A7" w:rsidRPr="00C63F3F" w:rsidRDefault="009734A7" w:rsidP="00656F9F">
      <w:pPr>
        <w:rPr>
          <w:rFonts w:ascii="Arial" w:hAnsi="Arial" w:cs="Arial"/>
          <w:b/>
          <w:bCs/>
          <w:color w:val="000000"/>
        </w:rPr>
      </w:pPr>
    </w:p>
    <w:p w:rsidR="0000257C" w:rsidRDefault="006469FF" w:rsidP="00656F9F">
      <w:pPr>
        <w:jc w:val="both"/>
        <w:rPr>
          <w:rFonts w:ascii="Arial" w:hAnsi="Arial" w:cs="Arial"/>
        </w:rPr>
      </w:pPr>
      <w:r>
        <w:rPr>
          <w:rFonts w:ascii="Arial" w:hAnsi="Arial" w:cs="Arial"/>
        </w:rPr>
        <w:t>1.</w:t>
      </w:r>
      <w:r w:rsidR="0000257C">
        <w:rPr>
          <w:rFonts w:ascii="Arial" w:hAnsi="Arial" w:cs="Arial"/>
        </w:rPr>
        <w:t xml:space="preserve"> El capital humano del área </w:t>
      </w:r>
      <w:r>
        <w:rPr>
          <w:rFonts w:ascii="Arial" w:hAnsi="Arial" w:cs="Arial"/>
        </w:rPr>
        <w:t xml:space="preserve">de </w:t>
      </w:r>
      <w:r w:rsidR="0000257C">
        <w:rPr>
          <w:rFonts w:ascii="Arial" w:hAnsi="Arial" w:cs="Arial"/>
        </w:rPr>
        <w:t>contabilidad cuenta con perfil de contadores y atienden con el reporte de información a las instancias correspondientes y la publicación de los Estados Financieros, cumpliendo con el eje transversal de comunicación.</w:t>
      </w:r>
    </w:p>
    <w:p w:rsidR="0000257C" w:rsidRDefault="0000257C" w:rsidP="00656F9F">
      <w:pPr>
        <w:jc w:val="both"/>
        <w:rPr>
          <w:rFonts w:ascii="Arial" w:hAnsi="Arial" w:cs="Arial"/>
        </w:rPr>
      </w:pPr>
    </w:p>
    <w:p w:rsidR="0000257C" w:rsidRDefault="0000257C" w:rsidP="00656F9F">
      <w:pPr>
        <w:jc w:val="both"/>
        <w:rPr>
          <w:rFonts w:ascii="Arial" w:hAnsi="Arial" w:cs="Arial"/>
        </w:rPr>
      </w:pPr>
      <w:r>
        <w:rPr>
          <w:rFonts w:ascii="Arial" w:hAnsi="Arial" w:cs="Arial"/>
        </w:rPr>
        <w:t>2</w:t>
      </w:r>
      <w:r w:rsidR="006469FF">
        <w:rPr>
          <w:rFonts w:ascii="Arial" w:hAnsi="Arial" w:cs="Arial"/>
        </w:rPr>
        <w:t>.</w:t>
      </w:r>
      <w:r>
        <w:rPr>
          <w:rFonts w:ascii="Arial" w:hAnsi="Arial" w:cs="Arial"/>
        </w:rPr>
        <w:t xml:space="preserve"> La elaboración, presentación y transmisión de los Estados Financieros; así como, las declaraciones de carácter legal, dan cumplimiento a las políticas sobre los requerimien</w:t>
      </w:r>
      <w:r w:rsidR="00090A1E">
        <w:rPr>
          <w:rFonts w:ascii="Arial" w:hAnsi="Arial" w:cs="Arial"/>
        </w:rPr>
        <w:t xml:space="preserve">tos de información, mediante la </w:t>
      </w:r>
      <w:r>
        <w:rPr>
          <w:rFonts w:ascii="Arial" w:hAnsi="Arial" w:cs="Arial"/>
        </w:rPr>
        <w:t xml:space="preserve">aplicación normativa de la CGN MINHACIENDA DIAN y Secretaria de Hacienda Distrital. </w:t>
      </w:r>
    </w:p>
    <w:p w:rsidR="00983B66" w:rsidRDefault="00983B66" w:rsidP="00656F9F">
      <w:pPr>
        <w:pStyle w:val="Prrafodelista"/>
        <w:spacing w:after="0" w:line="240" w:lineRule="auto"/>
        <w:rPr>
          <w:rFonts w:ascii="Arial" w:hAnsi="Arial" w:cs="Arial"/>
        </w:rPr>
      </w:pPr>
    </w:p>
    <w:p w:rsidR="0000257C" w:rsidRDefault="0000257C" w:rsidP="00656F9F">
      <w:pPr>
        <w:pStyle w:val="Prrafodelista"/>
        <w:spacing w:after="0" w:line="240" w:lineRule="auto"/>
        <w:rPr>
          <w:rFonts w:ascii="Arial" w:hAnsi="Arial" w:cs="Arial"/>
        </w:rPr>
      </w:pPr>
    </w:p>
    <w:p w:rsidR="00682F5C" w:rsidRPr="00C63F3F" w:rsidRDefault="00315BD3" w:rsidP="00656F9F">
      <w:pPr>
        <w:outlineLvl w:val="0"/>
        <w:rPr>
          <w:rFonts w:ascii="Arial" w:hAnsi="Arial" w:cs="Arial"/>
          <w:b/>
          <w:bCs/>
          <w:color w:val="000000"/>
        </w:rPr>
      </w:pPr>
      <w:r w:rsidRPr="00C63F3F">
        <w:rPr>
          <w:rFonts w:ascii="Arial" w:hAnsi="Arial" w:cs="Arial"/>
          <w:b/>
          <w:bCs/>
          <w:color w:val="000000"/>
        </w:rPr>
        <w:lastRenderedPageBreak/>
        <w:t>DEBILIDADES</w:t>
      </w:r>
    </w:p>
    <w:p w:rsidR="00793D82" w:rsidRPr="00C63F3F" w:rsidRDefault="00793D82" w:rsidP="00656F9F">
      <w:pPr>
        <w:pStyle w:val="Textoindependiente21"/>
        <w:ind w:left="426"/>
        <w:rPr>
          <w:rFonts w:cs="Arial"/>
          <w:sz w:val="22"/>
          <w:szCs w:val="22"/>
        </w:rPr>
      </w:pPr>
    </w:p>
    <w:p w:rsidR="0000257C" w:rsidRPr="006469FF" w:rsidRDefault="0000257C" w:rsidP="00656F9F">
      <w:pPr>
        <w:pStyle w:val="Prrafodelista"/>
        <w:numPr>
          <w:ilvl w:val="0"/>
          <w:numId w:val="34"/>
        </w:numPr>
        <w:tabs>
          <w:tab w:val="left" w:pos="284"/>
        </w:tabs>
        <w:autoSpaceDE w:val="0"/>
        <w:autoSpaceDN w:val="0"/>
        <w:adjustRightInd w:val="0"/>
        <w:spacing w:after="0" w:line="240" w:lineRule="auto"/>
        <w:ind w:left="0" w:firstLine="0"/>
        <w:jc w:val="both"/>
        <w:rPr>
          <w:rFonts w:ascii="Arial" w:hAnsi="Arial" w:cs="Arial"/>
          <w:lang w:val="es-ES_tradnl"/>
        </w:rPr>
      </w:pPr>
      <w:r w:rsidRPr="006469FF">
        <w:rPr>
          <w:rFonts w:ascii="Arial" w:hAnsi="Arial" w:cs="Arial"/>
          <w:lang w:val="es-ES_tradnl"/>
        </w:rPr>
        <w:t xml:space="preserve">La entidad opera para el proceso contable en el sistema  SIIF, en el cual registra sus operaciones; sin embargo, los procesos de almacén y de nómina, los maneja a través de los aplicativos SOA (Sistema en Línea Administrativo) y SARA (Sistema de Administración de Recursos Humanos) y sus movimientos son incorporados manualmente en el SIIF, lo cual genera potencial riesgo de errores y demoras en la obtención de datos.  </w:t>
      </w:r>
    </w:p>
    <w:p w:rsidR="0000257C" w:rsidRPr="0000257C" w:rsidRDefault="0000257C" w:rsidP="00656F9F">
      <w:pPr>
        <w:autoSpaceDE w:val="0"/>
        <w:autoSpaceDN w:val="0"/>
        <w:adjustRightInd w:val="0"/>
        <w:jc w:val="both"/>
        <w:rPr>
          <w:rFonts w:ascii="Arial" w:hAnsi="Arial" w:cs="Arial"/>
          <w:szCs w:val="22"/>
          <w:lang w:val="es-ES_tradnl"/>
        </w:rPr>
      </w:pPr>
    </w:p>
    <w:p w:rsidR="0000257C" w:rsidRPr="0000257C" w:rsidRDefault="006469FF" w:rsidP="00656F9F">
      <w:pPr>
        <w:autoSpaceDE w:val="0"/>
        <w:autoSpaceDN w:val="0"/>
        <w:adjustRightInd w:val="0"/>
        <w:jc w:val="both"/>
        <w:rPr>
          <w:rFonts w:ascii="Arial" w:hAnsi="Arial" w:cs="Arial"/>
          <w:szCs w:val="22"/>
          <w:lang w:val="es-ES_tradnl"/>
        </w:rPr>
      </w:pPr>
      <w:r>
        <w:rPr>
          <w:rFonts w:ascii="Arial" w:hAnsi="Arial" w:cs="Arial"/>
          <w:szCs w:val="22"/>
          <w:lang w:val="es-ES_tradnl"/>
        </w:rPr>
        <w:t>2.</w:t>
      </w:r>
      <w:r w:rsidR="0000257C" w:rsidRPr="0000257C">
        <w:rPr>
          <w:rFonts w:ascii="Arial" w:hAnsi="Arial" w:cs="Arial"/>
          <w:szCs w:val="22"/>
          <w:lang w:val="es-ES_tradnl"/>
        </w:rPr>
        <w:t xml:space="preserve"> En el sistema SOA (Sistema en Línea Administrativo) de las propiedades plantas y equipos, </w:t>
      </w:r>
      <w:r>
        <w:rPr>
          <w:rFonts w:ascii="Arial" w:hAnsi="Arial" w:cs="Arial"/>
          <w:szCs w:val="22"/>
          <w:lang w:val="es-ES_tradnl"/>
        </w:rPr>
        <w:t xml:space="preserve">existen debilidades de control </w:t>
      </w:r>
      <w:r w:rsidR="0000257C" w:rsidRPr="0000257C">
        <w:rPr>
          <w:rFonts w:ascii="Arial" w:hAnsi="Arial" w:cs="Arial"/>
          <w:szCs w:val="22"/>
          <w:lang w:val="es-ES_tradnl"/>
        </w:rPr>
        <w:t xml:space="preserve">por parte del administrador del sistema, que repercuten en los saldos contables enunciados en los </w:t>
      </w:r>
      <w:r w:rsidRPr="0000257C">
        <w:rPr>
          <w:rFonts w:ascii="Arial" w:hAnsi="Arial" w:cs="Arial"/>
          <w:szCs w:val="22"/>
          <w:lang w:val="es-ES_tradnl"/>
        </w:rPr>
        <w:t>ítems</w:t>
      </w:r>
      <w:r w:rsidR="0000257C" w:rsidRPr="0000257C">
        <w:rPr>
          <w:rFonts w:ascii="Arial" w:hAnsi="Arial" w:cs="Arial"/>
          <w:szCs w:val="22"/>
          <w:lang w:val="es-ES_tradnl"/>
        </w:rPr>
        <w:t xml:space="preserve"> de la encuesta. </w:t>
      </w:r>
    </w:p>
    <w:p w:rsidR="0000257C" w:rsidRPr="0000257C" w:rsidRDefault="0000257C" w:rsidP="00656F9F">
      <w:pPr>
        <w:autoSpaceDE w:val="0"/>
        <w:autoSpaceDN w:val="0"/>
        <w:adjustRightInd w:val="0"/>
        <w:jc w:val="both"/>
        <w:rPr>
          <w:rFonts w:ascii="Arial" w:hAnsi="Arial" w:cs="Arial"/>
          <w:szCs w:val="22"/>
          <w:lang w:val="es-ES_tradnl"/>
        </w:rPr>
      </w:pPr>
    </w:p>
    <w:p w:rsidR="00360B2D" w:rsidRPr="006469FF" w:rsidRDefault="0000257C" w:rsidP="00656F9F">
      <w:pPr>
        <w:pStyle w:val="Prrafodelista"/>
        <w:numPr>
          <w:ilvl w:val="0"/>
          <w:numId w:val="35"/>
        </w:numPr>
        <w:tabs>
          <w:tab w:val="left" w:pos="284"/>
        </w:tabs>
        <w:autoSpaceDE w:val="0"/>
        <w:autoSpaceDN w:val="0"/>
        <w:adjustRightInd w:val="0"/>
        <w:spacing w:after="0" w:line="240" w:lineRule="auto"/>
        <w:ind w:left="0" w:firstLine="0"/>
        <w:jc w:val="both"/>
        <w:rPr>
          <w:rFonts w:ascii="Arial" w:hAnsi="Arial" w:cs="Arial"/>
          <w:lang w:val="es-ES_tradnl"/>
        </w:rPr>
      </w:pPr>
      <w:r w:rsidRPr="006469FF">
        <w:rPr>
          <w:rFonts w:ascii="Arial" w:hAnsi="Arial" w:cs="Arial"/>
          <w:lang w:val="es-ES_tradnl"/>
        </w:rPr>
        <w:t>No existe</w:t>
      </w:r>
      <w:r w:rsidR="006469FF" w:rsidRPr="006469FF">
        <w:rPr>
          <w:rFonts w:ascii="Arial" w:hAnsi="Arial" w:cs="Arial"/>
          <w:lang w:val="es-ES_tradnl"/>
        </w:rPr>
        <w:t>n</w:t>
      </w:r>
      <w:r w:rsidRPr="006469FF">
        <w:rPr>
          <w:rFonts w:ascii="Arial" w:hAnsi="Arial" w:cs="Arial"/>
          <w:lang w:val="es-ES_tradnl"/>
        </w:rPr>
        <w:t xml:space="preserve"> riesgos establecidos en el procedimiento GFI-PRC05. Elaboración y Presentación de los Estados Financieros.</w:t>
      </w:r>
    </w:p>
    <w:p w:rsidR="0000257C" w:rsidRPr="00C63F3F" w:rsidRDefault="0000257C" w:rsidP="00656F9F">
      <w:pPr>
        <w:autoSpaceDE w:val="0"/>
        <w:autoSpaceDN w:val="0"/>
        <w:adjustRightInd w:val="0"/>
        <w:jc w:val="both"/>
        <w:rPr>
          <w:rFonts w:ascii="Arial" w:hAnsi="Arial" w:cs="Arial"/>
          <w:sz w:val="28"/>
        </w:rPr>
      </w:pPr>
    </w:p>
    <w:p w:rsidR="009B3C52" w:rsidRPr="00C63F3F" w:rsidRDefault="00047274" w:rsidP="00656F9F">
      <w:pPr>
        <w:rPr>
          <w:rFonts w:ascii="Arial" w:hAnsi="Arial" w:cs="Arial"/>
          <w:b/>
          <w:color w:val="000000"/>
        </w:rPr>
      </w:pPr>
      <w:r w:rsidRPr="00C63F3F">
        <w:rPr>
          <w:rFonts w:ascii="Arial" w:hAnsi="Arial" w:cs="Arial"/>
          <w:b/>
          <w:color w:val="000000"/>
        </w:rPr>
        <w:t xml:space="preserve">AVANCES OBTENIDOS RESPECTO DE LAS EVALUACIONES </w:t>
      </w:r>
    </w:p>
    <w:p w:rsidR="0020513A" w:rsidRDefault="00047274" w:rsidP="00656F9F">
      <w:pPr>
        <w:rPr>
          <w:rFonts w:ascii="Arial" w:hAnsi="Arial" w:cs="Arial"/>
          <w:b/>
          <w:color w:val="000000"/>
        </w:rPr>
      </w:pPr>
      <w:r w:rsidRPr="00C63F3F">
        <w:rPr>
          <w:rFonts w:ascii="Arial" w:hAnsi="Arial" w:cs="Arial"/>
          <w:b/>
          <w:color w:val="000000"/>
        </w:rPr>
        <w:t>Y RECOMENDACIONES REALIZADAS</w:t>
      </w:r>
    </w:p>
    <w:p w:rsidR="0000257C" w:rsidRPr="00C63F3F" w:rsidRDefault="0000257C" w:rsidP="00656F9F">
      <w:pPr>
        <w:rPr>
          <w:rFonts w:ascii="Arial" w:hAnsi="Arial" w:cs="Arial"/>
          <w:b/>
          <w:color w:val="000000"/>
        </w:rPr>
      </w:pPr>
    </w:p>
    <w:p w:rsidR="00FC7D05" w:rsidRDefault="0000257C" w:rsidP="00656F9F">
      <w:pPr>
        <w:jc w:val="both"/>
        <w:outlineLvl w:val="0"/>
        <w:rPr>
          <w:rFonts w:ascii="Arial" w:hAnsi="Arial" w:cs="Arial"/>
          <w:sz w:val="22"/>
          <w:szCs w:val="22"/>
        </w:rPr>
      </w:pPr>
      <w:r w:rsidRPr="0000257C">
        <w:rPr>
          <w:rFonts w:ascii="Arial" w:hAnsi="Arial" w:cs="Arial"/>
          <w:sz w:val="22"/>
          <w:szCs w:val="22"/>
        </w:rPr>
        <w:t xml:space="preserve">Se </w:t>
      </w:r>
      <w:r w:rsidR="006469FF" w:rsidRPr="0000257C">
        <w:rPr>
          <w:rFonts w:ascii="Arial" w:hAnsi="Arial" w:cs="Arial"/>
          <w:sz w:val="22"/>
          <w:szCs w:val="22"/>
        </w:rPr>
        <w:t>continúa</w:t>
      </w:r>
      <w:r w:rsidRPr="0000257C">
        <w:rPr>
          <w:rFonts w:ascii="Arial" w:hAnsi="Arial" w:cs="Arial"/>
          <w:sz w:val="22"/>
          <w:szCs w:val="22"/>
        </w:rPr>
        <w:t xml:space="preserve"> trabajando y actualizando para el fortaleci</w:t>
      </w:r>
      <w:r>
        <w:rPr>
          <w:rFonts w:ascii="Arial" w:hAnsi="Arial" w:cs="Arial"/>
          <w:sz w:val="22"/>
          <w:szCs w:val="22"/>
        </w:rPr>
        <w:t xml:space="preserve">miento e implementación a corto </w:t>
      </w:r>
      <w:r w:rsidR="006469FF">
        <w:rPr>
          <w:rFonts w:ascii="Arial" w:hAnsi="Arial" w:cs="Arial"/>
          <w:sz w:val="22"/>
          <w:szCs w:val="22"/>
        </w:rPr>
        <w:t>plazo de las N</w:t>
      </w:r>
      <w:r w:rsidRPr="0000257C">
        <w:rPr>
          <w:rFonts w:ascii="Arial" w:hAnsi="Arial" w:cs="Arial"/>
          <w:sz w:val="22"/>
          <w:szCs w:val="22"/>
        </w:rPr>
        <w:t xml:space="preserve">ormas </w:t>
      </w:r>
      <w:r w:rsidR="006469FF">
        <w:rPr>
          <w:rFonts w:ascii="Arial" w:hAnsi="Arial" w:cs="Arial"/>
          <w:sz w:val="22"/>
          <w:szCs w:val="22"/>
        </w:rPr>
        <w:t>I</w:t>
      </w:r>
      <w:r w:rsidRPr="0000257C">
        <w:rPr>
          <w:rFonts w:ascii="Arial" w:hAnsi="Arial" w:cs="Arial"/>
          <w:sz w:val="22"/>
          <w:szCs w:val="22"/>
        </w:rPr>
        <w:t>nternacionales</w:t>
      </w:r>
      <w:r w:rsidR="006469FF">
        <w:rPr>
          <w:rFonts w:ascii="Arial" w:hAnsi="Arial" w:cs="Arial"/>
          <w:sz w:val="22"/>
          <w:szCs w:val="22"/>
        </w:rPr>
        <w:t xml:space="preserve"> de C</w:t>
      </w:r>
      <w:r w:rsidRPr="0000257C">
        <w:rPr>
          <w:rFonts w:ascii="Arial" w:hAnsi="Arial" w:cs="Arial"/>
          <w:sz w:val="22"/>
          <w:szCs w:val="22"/>
        </w:rPr>
        <w:t>ontabilidad para</w:t>
      </w:r>
      <w:r w:rsidR="006469FF">
        <w:rPr>
          <w:rFonts w:ascii="Arial" w:hAnsi="Arial" w:cs="Arial"/>
          <w:sz w:val="22"/>
          <w:szCs w:val="22"/>
        </w:rPr>
        <w:t xml:space="preserve"> el Sector</w:t>
      </w:r>
      <w:r w:rsidRPr="0000257C">
        <w:rPr>
          <w:rFonts w:ascii="Arial" w:hAnsi="Arial" w:cs="Arial"/>
          <w:sz w:val="22"/>
          <w:szCs w:val="22"/>
        </w:rPr>
        <w:t xml:space="preserve"> Gobierno.</w:t>
      </w:r>
    </w:p>
    <w:p w:rsidR="0000257C" w:rsidRPr="00C63F3F" w:rsidRDefault="0000257C" w:rsidP="00656F9F">
      <w:pPr>
        <w:jc w:val="center"/>
        <w:outlineLvl w:val="0"/>
        <w:rPr>
          <w:rFonts w:ascii="Arial" w:hAnsi="Arial" w:cs="Arial"/>
          <w:b/>
          <w:color w:val="000000"/>
        </w:rPr>
      </w:pPr>
    </w:p>
    <w:p w:rsidR="0020513A" w:rsidRPr="00C63F3F" w:rsidRDefault="0020513A" w:rsidP="00656F9F">
      <w:pPr>
        <w:outlineLvl w:val="0"/>
        <w:rPr>
          <w:rFonts w:ascii="Arial" w:hAnsi="Arial" w:cs="Arial"/>
          <w:b/>
          <w:color w:val="000000"/>
        </w:rPr>
      </w:pPr>
      <w:r w:rsidRPr="00C63F3F">
        <w:rPr>
          <w:rFonts w:ascii="Arial" w:hAnsi="Arial" w:cs="Arial"/>
          <w:b/>
          <w:color w:val="000000"/>
        </w:rPr>
        <w:t>RECOMENDACIONES</w:t>
      </w:r>
    </w:p>
    <w:p w:rsidR="009734A7" w:rsidRPr="00C63F3F" w:rsidRDefault="009734A7" w:rsidP="00656F9F">
      <w:pPr>
        <w:pStyle w:val="Textoindependiente2"/>
        <w:ind w:left="426"/>
        <w:jc w:val="both"/>
        <w:rPr>
          <w:rFonts w:cs="Arial"/>
          <w:sz w:val="22"/>
          <w:szCs w:val="22"/>
        </w:rPr>
      </w:pPr>
    </w:p>
    <w:p w:rsidR="00281A9E" w:rsidRPr="00C63F3F" w:rsidRDefault="0000257C" w:rsidP="00656F9F">
      <w:pPr>
        <w:pStyle w:val="Textoindependiente2"/>
        <w:jc w:val="both"/>
        <w:rPr>
          <w:rFonts w:cs="Arial"/>
          <w:sz w:val="22"/>
          <w:szCs w:val="22"/>
        </w:rPr>
      </w:pPr>
      <w:r w:rsidRPr="0000257C">
        <w:rPr>
          <w:rFonts w:cs="Arial"/>
          <w:sz w:val="22"/>
          <w:szCs w:val="22"/>
        </w:rPr>
        <w:t xml:space="preserve">Dada la incertidumbre y ausencia de control en el cálculo de la depreciación, tanto en la alícuota mensual y saldos iniciales de los Estados Financieros vigencia 2018; es imperativo que se establezcan controles duales que garanticen la existencia, oportunidad y confiabilidad de la información que procesa y genera el SOA y por ende los saldos iniciales y la aplicabilidad del nuevo marco normativo; de igual manera, establecer y contemplar como mecanismo de </w:t>
      </w:r>
      <w:r w:rsidRPr="00330F10">
        <w:rPr>
          <w:rFonts w:cs="Arial"/>
          <w:sz w:val="22"/>
          <w:szCs w:val="22"/>
        </w:rPr>
        <w:t xml:space="preserve">conciliación no </w:t>
      </w:r>
      <w:r w:rsidRPr="006E7A80">
        <w:rPr>
          <w:rFonts w:cs="Arial"/>
          <w:sz w:val="22"/>
          <w:szCs w:val="22"/>
        </w:rPr>
        <w:t>solo el cruce de saldos</w:t>
      </w:r>
      <w:r w:rsidR="00330F10" w:rsidRPr="006E7A80">
        <w:rPr>
          <w:rFonts w:cs="Arial"/>
          <w:sz w:val="22"/>
          <w:szCs w:val="22"/>
        </w:rPr>
        <w:t xml:space="preserve">, sino realizar recálcalos de la depreciación de los activos para mejorar </w:t>
      </w:r>
      <w:r w:rsidRPr="006E7A80">
        <w:rPr>
          <w:rFonts w:cs="Arial"/>
          <w:sz w:val="22"/>
          <w:szCs w:val="22"/>
        </w:rPr>
        <w:t>por</w:t>
      </w:r>
      <w:r w:rsidRPr="0000257C">
        <w:rPr>
          <w:rFonts w:cs="Arial"/>
          <w:sz w:val="22"/>
          <w:szCs w:val="22"/>
        </w:rPr>
        <w:t xml:space="preserve"> ende la calidad de la información; así como, la pertinencia de actualizar los procedimientos no solo de contabilidad, sino del GIT GESTIÓN RECURSOS FINANCIEROS; de igual manera, cambiar la estrategia utilizada para conciliar los “Saldos por Conciliar de las Opera</w:t>
      </w:r>
      <w:r w:rsidR="00330F10">
        <w:rPr>
          <w:rFonts w:cs="Arial"/>
          <w:sz w:val="22"/>
          <w:szCs w:val="22"/>
        </w:rPr>
        <w:t>ciones Reciprocas” y para</w:t>
      </w:r>
      <w:r w:rsidRPr="0000257C">
        <w:rPr>
          <w:rFonts w:cs="Arial"/>
          <w:sz w:val="22"/>
          <w:szCs w:val="22"/>
        </w:rPr>
        <w:t xml:space="preserve"> mejorar las notas a los Estados Contables, tener en cuenta el nuevo marco normativo en lo relacionado con las revelaciones.</w:t>
      </w:r>
    </w:p>
    <w:p w:rsidR="009734A7" w:rsidRPr="00C63F3F" w:rsidRDefault="009734A7" w:rsidP="00656F9F">
      <w:pPr>
        <w:jc w:val="both"/>
        <w:rPr>
          <w:rFonts w:ascii="Arial" w:hAnsi="Arial" w:cs="Arial"/>
          <w:color w:val="000000"/>
          <w:sz w:val="22"/>
          <w:szCs w:val="22"/>
        </w:rPr>
      </w:pPr>
    </w:p>
    <w:p w:rsidR="009734A7" w:rsidRPr="00C63F3F" w:rsidRDefault="009734A7" w:rsidP="00656F9F">
      <w:pPr>
        <w:jc w:val="both"/>
        <w:rPr>
          <w:rFonts w:ascii="Arial" w:hAnsi="Arial" w:cs="Arial"/>
          <w:color w:val="000000"/>
          <w:sz w:val="22"/>
          <w:szCs w:val="22"/>
        </w:rPr>
      </w:pPr>
    </w:p>
    <w:p w:rsidR="00485643" w:rsidRPr="00C63F3F" w:rsidRDefault="00485643" w:rsidP="00656F9F">
      <w:pPr>
        <w:jc w:val="both"/>
        <w:rPr>
          <w:rFonts w:ascii="Arial" w:hAnsi="Arial" w:cs="Arial"/>
          <w:b/>
          <w:color w:val="000000"/>
          <w:sz w:val="22"/>
          <w:szCs w:val="22"/>
        </w:rPr>
      </w:pPr>
    </w:p>
    <w:p w:rsidR="00F674E5" w:rsidRPr="00C63F3F" w:rsidRDefault="00F674E5" w:rsidP="00656F9F">
      <w:pPr>
        <w:jc w:val="both"/>
        <w:rPr>
          <w:rFonts w:ascii="Arial" w:hAnsi="Arial" w:cs="Arial"/>
          <w:b/>
          <w:color w:val="000000"/>
          <w:sz w:val="22"/>
          <w:szCs w:val="22"/>
        </w:rPr>
      </w:pPr>
    </w:p>
    <w:p w:rsidR="00FE09C7" w:rsidRPr="00C63F3F" w:rsidRDefault="00FE09C7" w:rsidP="00656F9F">
      <w:pPr>
        <w:jc w:val="both"/>
        <w:rPr>
          <w:rFonts w:ascii="Arial" w:hAnsi="Arial" w:cs="Arial"/>
          <w:b/>
          <w:color w:val="000000"/>
          <w:sz w:val="22"/>
          <w:szCs w:val="22"/>
        </w:rPr>
      </w:pPr>
    </w:p>
    <w:p w:rsidR="00485643" w:rsidRPr="00C63F3F" w:rsidRDefault="00E12C0E" w:rsidP="00656F9F">
      <w:pPr>
        <w:jc w:val="both"/>
        <w:outlineLvl w:val="0"/>
        <w:rPr>
          <w:rFonts w:ascii="Arial" w:hAnsi="Arial" w:cs="Arial"/>
          <w:color w:val="000000"/>
          <w:sz w:val="22"/>
          <w:szCs w:val="22"/>
        </w:rPr>
      </w:pPr>
      <w:r w:rsidRPr="00C63F3F">
        <w:rPr>
          <w:rFonts w:ascii="Arial" w:hAnsi="Arial" w:cs="Arial"/>
          <w:color w:val="000000"/>
          <w:sz w:val="22"/>
          <w:szCs w:val="22"/>
        </w:rPr>
        <w:t>MARTIZA VELANDIA CARDOZO</w:t>
      </w:r>
    </w:p>
    <w:p w:rsidR="00485643" w:rsidRPr="00C63F3F" w:rsidRDefault="00485643" w:rsidP="00656F9F">
      <w:pPr>
        <w:jc w:val="both"/>
        <w:outlineLvl w:val="0"/>
        <w:rPr>
          <w:rFonts w:ascii="Arial" w:hAnsi="Arial" w:cs="Arial"/>
          <w:color w:val="000000"/>
          <w:sz w:val="22"/>
          <w:szCs w:val="22"/>
        </w:rPr>
      </w:pPr>
      <w:r w:rsidRPr="00C63F3F">
        <w:rPr>
          <w:rFonts w:ascii="Arial" w:hAnsi="Arial" w:cs="Arial"/>
          <w:color w:val="000000"/>
          <w:sz w:val="22"/>
          <w:szCs w:val="22"/>
        </w:rPr>
        <w:t>Coordinador</w:t>
      </w:r>
      <w:r w:rsidR="00E12C0E" w:rsidRPr="00C63F3F">
        <w:rPr>
          <w:rFonts w:ascii="Arial" w:hAnsi="Arial" w:cs="Arial"/>
          <w:color w:val="000000"/>
          <w:sz w:val="22"/>
          <w:szCs w:val="22"/>
        </w:rPr>
        <w:t>a</w:t>
      </w:r>
      <w:r w:rsidRPr="00C63F3F">
        <w:rPr>
          <w:rFonts w:ascii="Arial" w:hAnsi="Arial" w:cs="Arial"/>
          <w:color w:val="000000"/>
          <w:sz w:val="22"/>
          <w:szCs w:val="22"/>
        </w:rPr>
        <w:t xml:space="preserve"> GIT de Control Interno</w:t>
      </w:r>
    </w:p>
    <w:p w:rsidR="000F51C2" w:rsidRPr="00C63F3F" w:rsidRDefault="000F51C2" w:rsidP="00656F9F">
      <w:pPr>
        <w:jc w:val="both"/>
        <w:rPr>
          <w:rFonts w:ascii="Arial" w:hAnsi="Arial" w:cs="Arial"/>
          <w:color w:val="000000"/>
          <w:sz w:val="16"/>
          <w:szCs w:val="16"/>
        </w:rPr>
      </w:pPr>
    </w:p>
    <w:p w:rsidR="00FE09C7" w:rsidRPr="00C63F3F" w:rsidRDefault="00FE09C7" w:rsidP="00656F9F">
      <w:pPr>
        <w:jc w:val="both"/>
        <w:rPr>
          <w:rFonts w:ascii="Arial" w:hAnsi="Arial" w:cs="Arial"/>
          <w:i/>
          <w:color w:val="000000"/>
          <w:sz w:val="14"/>
          <w:szCs w:val="14"/>
        </w:rPr>
      </w:pPr>
    </w:p>
    <w:p w:rsidR="00330F10" w:rsidRDefault="00330F10" w:rsidP="00330F10">
      <w:pPr>
        <w:tabs>
          <w:tab w:val="left" w:pos="567"/>
        </w:tabs>
        <w:rPr>
          <w:rFonts w:ascii="Arial" w:hAnsi="Arial" w:cs="Arial"/>
          <w:sz w:val="16"/>
          <w:szCs w:val="16"/>
        </w:rPr>
      </w:pPr>
      <w:r w:rsidRPr="009E0729">
        <w:rPr>
          <w:rFonts w:ascii="Arial" w:hAnsi="Arial" w:cs="Arial"/>
          <w:sz w:val="16"/>
          <w:szCs w:val="16"/>
        </w:rPr>
        <w:t>Nubia Estela Porras Morales</w:t>
      </w:r>
    </w:p>
    <w:p w:rsidR="00330F10" w:rsidRDefault="00330F10" w:rsidP="00330F10">
      <w:pPr>
        <w:tabs>
          <w:tab w:val="left" w:pos="709"/>
        </w:tabs>
        <w:rPr>
          <w:rFonts w:ascii="Arial" w:hAnsi="Arial" w:cs="Arial"/>
          <w:sz w:val="16"/>
          <w:szCs w:val="16"/>
        </w:rPr>
      </w:pPr>
      <w:r>
        <w:rPr>
          <w:rFonts w:ascii="Arial" w:hAnsi="Arial" w:cs="Arial"/>
          <w:sz w:val="16"/>
          <w:szCs w:val="16"/>
        </w:rPr>
        <w:t xml:space="preserve">John </w:t>
      </w:r>
      <w:proofErr w:type="spellStart"/>
      <w:r>
        <w:rPr>
          <w:rFonts w:ascii="Arial" w:hAnsi="Arial" w:cs="Arial"/>
          <w:sz w:val="16"/>
          <w:szCs w:val="16"/>
        </w:rPr>
        <w:t>Sebastian</w:t>
      </w:r>
      <w:proofErr w:type="spellEnd"/>
      <w:r>
        <w:rPr>
          <w:rFonts w:ascii="Arial" w:hAnsi="Arial" w:cs="Arial"/>
          <w:sz w:val="16"/>
          <w:szCs w:val="16"/>
        </w:rPr>
        <w:t xml:space="preserve"> Botero Holguín</w:t>
      </w:r>
    </w:p>
    <w:p w:rsidR="00E12C0E" w:rsidRPr="00C63F3F" w:rsidRDefault="00E12C0E" w:rsidP="00656F9F">
      <w:pPr>
        <w:jc w:val="both"/>
        <w:rPr>
          <w:rFonts w:ascii="Arial" w:hAnsi="Arial" w:cs="Arial"/>
          <w:b/>
          <w:color w:val="000000"/>
          <w:sz w:val="14"/>
          <w:szCs w:val="14"/>
        </w:rPr>
      </w:pPr>
    </w:p>
    <w:sectPr w:rsidR="00E12C0E" w:rsidRPr="00C63F3F" w:rsidSect="00E332A2">
      <w:headerReference w:type="default" r:id="rId10"/>
      <w:footerReference w:type="default" r:id="rId11"/>
      <w:pgSz w:w="11906" w:h="16838"/>
      <w:pgMar w:top="1418" w:right="127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308" w:rsidRDefault="00DA6308" w:rsidP="00A50E44">
      <w:r>
        <w:separator/>
      </w:r>
    </w:p>
  </w:endnote>
  <w:endnote w:type="continuationSeparator" w:id="0">
    <w:p w:rsidR="00DA6308" w:rsidRDefault="00DA6308" w:rsidP="00A5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1A8" w:rsidRDefault="009571A8" w:rsidP="009734A7">
    <w:pPr>
      <w:jc w:val="center"/>
      <w:rPr>
        <w:rFonts w:ascii="Calibri" w:hAnsi="Calibri" w:cs="Calibri"/>
        <w:b/>
        <w:iCs/>
        <w:sz w:val="21"/>
        <w:szCs w:val="21"/>
      </w:rPr>
    </w:pPr>
    <w:r w:rsidRPr="00707ED7">
      <w:rPr>
        <w:rFonts w:ascii="Calibri" w:hAnsi="Calibri" w:cs="Calibri"/>
        <w:b/>
        <w:iCs/>
        <w:sz w:val="21"/>
        <w:szCs w:val="21"/>
      </w:rPr>
      <w:t>“Cuentas Claras, Estado Transparente”</w:t>
    </w:r>
  </w:p>
  <w:p w:rsidR="009571A8" w:rsidRPr="0069304E" w:rsidRDefault="009571A8" w:rsidP="009734A7">
    <w:pPr>
      <w:jc w:val="center"/>
      <w:rPr>
        <w:rFonts w:ascii="Calibri" w:hAnsi="Calibri" w:cs="Calibri"/>
        <w:b/>
        <w:iCs/>
        <w:sz w:val="21"/>
        <w:szCs w:val="21"/>
      </w:rPr>
    </w:pPr>
    <w:r>
      <w:rPr>
        <w:rFonts w:ascii="Calibri" w:hAnsi="Calibri"/>
        <w:i/>
        <w:noProof/>
        <w:lang w:val="es-CO" w:eastAsia="es-CO"/>
      </w:rPr>
      <w:drawing>
        <wp:anchor distT="0" distB="0" distL="114300" distR="114300" simplePos="0" relativeHeight="251657728" behindDoc="1" locked="0" layoutInCell="1" allowOverlap="1">
          <wp:simplePos x="0" y="0"/>
          <wp:positionH relativeFrom="margin">
            <wp:posOffset>6022340</wp:posOffset>
          </wp:positionH>
          <wp:positionV relativeFrom="margin">
            <wp:posOffset>8472170</wp:posOffset>
          </wp:positionV>
          <wp:extent cx="232410" cy="358775"/>
          <wp:effectExtent l="0" t="0" r="0" b="3175"/>
          <wp:wrapSquare wrapText="bothSides"/>
          <wp:docPr id="9" name="Imagen 9" descr="ohsas-18001-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hsas-18001-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 cy="358775"/>
                  </a:xfrm>
                  <a:prstGeom prst="rect">
                    <a:avLst/>
                  </a:prstGeom>
                  <a:noFill/>
                  <a:ln>
                    <a:noFill/>
                  </a:ln>
                </pic:spPr>
              </pic:pic>
            </a:graphicData>
          </a:graphic>
        </wp:anchor>
      </w:drawing>
    </w:r>
    <w:r>
      <w:rPr>
        <w:noProof/>
        <w:lang w:val="es-CO" w:eastAsia="es-CO"/>
      </w:rPr>
      <w:drawing>
        <wp:anchor distT="0" distB="0" distL="114300" distR="114300" simplePos="0" relativeHeight="251658752" behindDoc="1" locked="0" layoutInCell="1" allowOverlap="1">
          <wp:simplePos x="0" y="0"/>
          <wp:positionH relativeFrom="margin">
            <wp:posOffset>5425440</wp:posOffset>
          </wp:positionH>
          <wp:positionV relativeFrom="margin">
            <wp:posOffset>8489315</wp:posOffset>
          </wp:positionV>
          <wp:extent cx="233680" cy="385445"/>
          <wp:effectExtent l="0" t="0" r="0" b="0"/>
          <wp:wrapSquare wrapText="bothSides"/>
          <wp:docPr id="11" name="Imagen 11"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arga"/>
                  <pic:cNvPicPr>
                    <a:picLocks noChangeAspect="1" noChangeArrowheads="1"/>
                  </pic:cNvPicPr>
                </pic:nvPicPr>
                <pic:blipFill>
                  <a:blip r:embed="rId2">
                    <a:extLst>
                      <a:ext uri="{28A0092B-C50C-407E-A947-70E740481C1C}">
                        <a14:useLocalDpi xmlns:a14="http://schemas.microsoft.com/office/drawing/2010/main" val="0"/>
                      </a:ext>
                    </a:extLst>
                  </a:blip>
                  <a:srcRect l="17960" t="15031" r="51302" b="17371"/>
                  <a:stretch>
                    <a:fillRect/>
                  </a:stretch>
                </pic:blipFill>
                <pic:spPr bwMode="auto">
                  <a:xfrm>
                    <a:off x="0" y="0"/>
                    <a:ext cx="233680" cy="385445"/>
                  </a:xfrm>
                  <a:prstGeom prst="rect">
                    <a:avLst/>
                  </a:prstGeom>
                  <a:noFill/>
                  <a:ln>
                    <a:noFill/>
                  </a:ln>
                </pic:spPr>
              </pic:pic>
            </a:graphicData>
          </a:graphic>
        </wp:anchor>
      </w:drawing>
    </w:r>
    <w:r>
      <w:rPr>
        <w:noProof/>
        <w:lang w:val="es-CO" w:eastAsia="es-CO"/>
      </w:rPr>
      <w:drawing>
        <wp:anchor distT="0" distB="0" distL="114935" distR="114935" simplePos="0" relativeHeight="251654656" behindDoc="1" locked="0" layoutInCell="1" allowOverlap="1">
          <wp:simplePos x="0" y="0"/>
          <wp:positionH relativeFrom="column">
            <wp:posOffset>5736590</wp:posOffset>
          </wp:positionH>
          <wp:positionV relativeFrom="paragraph">
            <wp:posOffset>37465</wp:posOffset>
          </wp:positionV>
          <wp:extent cx="234315" cy="353060"/>
          <wp:effectExtent l="0" t="0" r="0" b="889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315" cy="353060"/>
                  </a:xfrm>
                  <a:prstGeom prst="rect">
                    <a:avLst/>
                  </a:prstGeom>
                  <a:solidFill>
                    <a:srgbClr val="FFFFFF"/>
                  </a:solidFill>
                  <a:ln>
                    <a:noFill/>
                  </a:ln>
                </pic:spPr>
              </pic:pic>
            </a:graphicData>
          </a:graphic>
        </wp:anchor>
      </w:drawing>
    </w:r>
    <w:r>
      <w:rPr>
        <w:noProof/>
        <w:lang w:val="es-CO" w:eastAsia="es-CO"/>
      </w:rPr>
      <w:drawing>
        <wp:anchor distT="0" distB="0" distL="114935" distR="114935" simplePos="0" relativeHeight="251655680" behindDoc="1" locked="0" layoutInCell="1" allowOverlap="1">
          <wp:simplePos x="0" y="0"/>
          <wp:positionH relativeFrom="column">
            <wp:posOffset>5133340</wp:posOffset>
          </wp:positionH>
          <wp:positionV relativeFrom="paragraph">
            <wp:posOffset>55880</wp:posOffset>
          </wp:positionV>
          <wp:extent cx="295910" cy="301625"/>
          <wp:effectExtent l="0" t="0" r="8890" b="317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5910" cy="301625"/>
                  </a:xfrm>
                  <a:prstGeom prst="rect">
                    <a:avLst/>
                  </a:prstGeom>
                  <a:solidFill>
                    <a:srgbClr val="FFFFFF"/>
                  </a:solidFill>
                  <a:ln>
                    <a:noFill/>
                  </a:ln>
                </pic:spPr>
              </pic:pic>
            </a:graphicData>
          </a:graphic>
        </wp:anchor>
      </w:drawing>
    </w:r>
    <w:r>
      <w:rPr>
        <w:noProof/>
        <w:lang w:val="es-CO" w:eastAsia="es-CO"/>
      </w:rPr>
      <w:drawing>
        <wp:anchor distT="0" distB="0" distL="114935" distR="114935" simplePos="0" relativeHeight="251656704" behindDoc="1" locked="0" layoutInCell="1" allowOverlap="1">
          <wp:simplePos x="0" y="0"/>
          <wp:positionH relativeFrom="column">
            <wp:posOffset>4760595</wp:posOffset>
          </wp:positionH>
          <wp:positionV relativeFrom="paragraph">
            <wp:posOffset>34290</wp:posOffset>
          </wp:positionV>
          <wp:extent cx="328930" cy="358775"/>
          <wp:effectExtent l="0" t="0" r="0" b="317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8930" cy="358775"/>
                  </a:xfrm>
                  <a:prstGeom prst="rect">
                    <a:avLst/>
                  </a:prstGeom>
                  <a:solidFill>
                    <a:srgbClr val="FFFFFF"/>
                  </a:solidFill>
                  <a:ln>
                    <a:noFill/>
                  </a:ln>
                </pic:spPr>
              </pic:pic>
            </a:graphicData>
          </a:graphic>
        </wp:anchor>
      </w:drawing>
    </w:r>
    <w:r>
      <w:rPr>
        <w:noProof/>
        <w:lang w:val="es-CO" w:eastAsia="es-CO"/>
      </w:rPr>
      <mc:AlternateContent>
        <mc:Choice Requires="wps">
          <w:drawing>
            <wp:anchor distT="0" distB="0" distL="114300" distR="114300" simplePos="0" relativeHeight="251660800" behindDoc="1" locked="0" layoutInCell="1" allowOverlap="1">
              <wp:simplePos x="0" y="0"/>
              <wp:positionH relativeFrom="column">
                <wp:posOffset>91440</wp:posOffset>
              </wp:positionH>
              <wp:positionV relativeFrom="paragraph">
                <wp:posOffset>-3175</wp:posOffset>
              </wp:positionV>
              <wp:extent cx="5877560" cy="3810"/>
              <wp:effectExtent l="0" t="0" r="27940" b="3429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7560" cy="38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F6E8D1" id="Conector recto 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25pt" to="47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" strokeweight=".26mm">
              <v:stroke joinstyle="miter"/>
            </v:line>
          </w:pict>
        </mc:Fallback>
      </mc:AlternateContent>
    </w:r>
    <w:proofErr w:type="spellStart"/>
    <w:r>
      <w:rPr>
        <w:rFonts w:ascii="Calibri" w:hAnsi="Calibri" w:cs="Calibri"/>
        <w:i/>
        <w:lang w:val="pt-BR"/>
      </w:rPr>
      <w:t>Calle</w:t>
    </w:r>
    <w:proofErr w:type="spellEnd"/>
    <w:r>
      <w:rPr>
        <w:rFonts w:ascii="Calibri" w:hAnsi="Calibri" w:cs="Calibri"/>
        <w:i/>
        <w:lang w:val="pt-BR"/>
      </w:rPr>
      <w:t xml:space="preserve"> 95 No. 15 – 56 Código Postal: </w:t>
    </w:r>
    <w:r w:rsidRPr="00083284">
      <w:rPr>
        <w:rFonts w:ascii="Calibri" w:hAnsi="Calibri" w:cs="Calibri"/>
        <w:i/>
        <w:lang w:val="pt-BR"/>
      </w:rPr>
      <w:t>110221</w:t>
    </w:r>
    <w:r>
      <w:rPr>
        <w:rFonts w:ascii="Calibri" w:hAnsi="Calibri" w:cs="Calibri"/>
        <w:i/>
        <w:lang w:val="pt-BR"/>
      </w:rPr>
      <w:t xml:space="preserve"> PBX (57 1) 492 6400</w:t>
    </w:r>
  </w:p>
  <w:p w:rsidR="009571A8" w:rsidRDefault="009571A8" w:rsidP="009734A7">
    <w:pPr>
      <w:jc w:val="center"/>
      <w:rPr>
        <w:rFonts w:ascii="Calibri" w:hAnsi="Calibri" w:cs="Calibri"/>
        <w:i/>
        <w:lang w:val="pt-BR"/>
      </w:rPr>
    </w:pPr>
    <w:r>
      <w:rPr>
        <w:rFonts w:ascii="Calibri" w:hAnsi="Calibri" w:cs="Calibri"/>
        <w:i/>
        <w:lang w:val="pt-BR"/>
      </w:rPr>
      <w:t>www.contaduria.gov.co E-mail: contactenos@contaduria.gov.co</w:t>
    </w:r>
  </w:p>
  <w:p w:rsidR="009571A8" w:rsidRDefault="009571A8" w:rsidP="009734A7">
    <w:pPr>
      <w:jc w:val="center"/>
      <w:rPr>
        <w:rFonts w:ascii="Calibri" w:hAnsi="Calibri"/>
        <w:i/>
      </w:rPr>
    </w:pPr>
    <w:r>
      <w:rPr>
        <w:rFonts w:ascii="Calibri" w:hAnsi="Calibri"/>
        <w:i/>
      </w:rPr>
      <w:t>Bogotá D.C. – Colombia</w:t>
    </w:r>
  </w:p>
  <w:p w:rsidR="009571A8" w:rsidRDefault="009571A8" w:rsidP="009734A7">
    <w:pPr>
      <w:ind w:left="-708"/>
      <w:jc w:val="center"/>
    </w:pPr>
  </w:p>
  <w:p w:rsidR="009571A8" w:rsidRPr="009734A7" w:rsidRDefault="009571A8">
    <w:pPr>
      <w:pStyle w:val="Piedepgina"/>
      <w:rPr>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308" w:rsidRDefault="00DA6308" w:rsidP="00A50E44">
      <w:r>
        <w:separator/>
      </w:r>
    </w:p>
  </w:footnote>
  <w:footnote w:type="continuationSeparator" w:id="0">
    <w:p w:rsidR="00DA6308" w:rsidRDefault="00DA6308" w:rsidP="00A5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1A8" w:rsidRDefault="009571A8">
    <w:pPr>
      <w:pStyle w:val="Encabezado"/>
    </w:pPr>
    <w:r>
      <w:rPr>
        <w:noProof/>
        <w:lang w:val="es-CO" w:eastAsia="es-CO"/>
      </w:rPr>
      <w:drawing>
        <wp:anchor distT="0" distB="0" distL="114300" distR="114300" simplePos="0" relativeHeight="251659776" behindDoc="1" locked="0" layoutInCell="1" allowOverlap="1">
          <wp:simplePos x="0" y="0"/>
          <wp:positionH relativeFrom="column">
            <wp:posOffset>2020570</wp:posOffset>
          </wp:positionH>
          <wp:positionV relativeFrom="paragraph">
            <wp:posOffset>-355600</wp:posOffset>
          </wp:positionV>
          <wp:extent cx="3767455" cy="836930"/>
          <wp:effectExtent l="0" t="0" r="4445" b="1270"/>
          <wp:wrapThrough wrapText="bothSides">
            <wp:wrapPolygon edited="0">
              <wp:start x="11686" y="0"/>
              <wp:lineTo x="0" y="2950"/>
              <wp:lineTo x="0" y="18683"/>
              <wp:lineTo x="11686" y="21141"/>
              <wp:lineTo x="21516" y="21141"/>
              <wp:lineTo x="21516" y="0"/>
              <wp:lineTo x="11686" y="0"/>
            </wp:wrapPolygon>
          </wp:wrapThrough>
          <wp:docPr id="12" name="Imagen 12" descr="LOGOS FI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S FIRM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455" cy="83693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96F"/>
    <w:multiLevelType w:val="hybridMultilevel"/>
    <w:tmpl w:val="F1980E0A"/>
    <w:lvl w:ilvl="0" w:tplc="0C0A000F">
      <w:start w:val="1"/>
      <w:numFmt w:val="decimal"/>
      <w:lvlText w:val="%1."/>
      <w:lvlJc w:val="left"/>
      <w:pPr>
        <w:tabs>
          <w:tab w:val="num" w:pos="3337"/>
        </w:tabs>
        <w:ind w:left="3337"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4B65C62"/>
    <w:multiLevelType w:val="hybridMultilevel"/>
    <w:tmpl w:val="63F8BB06"/>
    <w:lvl w:ilvl="0" w:tplc="0C0A000D">
      <w:start w:val="1"/>
      <w:numFmt w:val="bullet"/>
      <w:lvlText w:val=""/>
      <w:lvlJc w:val="left"/>
      <w:pPr>
        <w:ind w:left="360" w:hanging="360"/>
      </w:pPr>
      <w:rPr>
        <w:rFonts w:ascii="Wingdings" w:hAnsi="Wingding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06133064"/>
    <w:multiLevelType w:val="hybridMultilevel"/>
    <w:tmpl w:val="5BAAE39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7B5497D"/>
    <w:multiLevelType w:val="hybridMultilevel"/>
    <w:tmpl w:val="D7846AE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nsid w:val="08F9601C"/>
    <w:multiLevelType w:val="hybridMultilevel"/>
    <w:tmpl w:val="33A46A58"/>
    <w:lvl w:ilvl="0" w:tplc="0C0A000D">
      <w:start w:val="1"/>
      <w:numFmt w:val="bullet"/>
      <w:lvlText w:val=""/>
      <w:lvlJc w:val="left"/>
      <w:pPr>
        <w:ind w:left="360" w:hanging="360"/>
      </w:pPr>
      <w:rPr>
        <w:rFonts w:ascii="Wingdings" w:hAnsi="Wingding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nsid w:val="15034FCD"/>
    <w:multiLevelType w:val="hybridMultilevel"/>
    <w:tmpl w:val="B262051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15A92126"/>
    <w:multiLevelType w:val="hybridMultilevel"/>
    <w:tmpl w:val="EA929068"/>
    <w:lvl w:ilvl="0" w:tplc="41FAA9D6">
      <w:numFmt w:val="bullet"/>
      <w:lvlText w:val="-"/>
      <w:lvlJc w:val="left"/>
      <w:pPr>
        <w:tabs>
          <w:tab w:val="num" w:pos="795"/>
        </w:tabs>
        <w:ind w:left="795" w:hanging="435"/>
      </w:pPr>
      <w:rPr>
        <w:rFonts w:ascii="Verdana" w:eastAsia="Times New Roman" w:hAnsi="Verdana" w:cs="Arial" w:hint="default"/>
        <w:color w:val="00000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BED05E0"/>
    <w:multiLevelType w:val="hybridMultilevel"/>
    <w:tmpl w:val="A9629204"/>
    <w:lvl w:ilvl="0" w:tplc="0C0A000D">
      <w:start w:val="1"/>
      <w:numFmt w:val="bullet"/>
      <w:lvlText w:val=""/>
      <w:lvlJc w:val="left"/>
      <w:pPr>
        <w:ind w:left="2487" w:hanging="360"/>
      </w:pPr>
      <w:rPr>
        <w:rFonts w:ascii="Wingdings" w:hAnsi="Wingding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nsid w:val="24C31551"/>
    <w:multiLevelType w:val="hybridMultilevel"/>
    <w:tmpl w:val="4FD032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5DE69DB"/>
    <w:multiLevelType w:val="hybridMultilevel"/>
    <w:tmpl w:val="C776B48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5DE781E"/>
    <w:multiLevelType w:val="hybridMultilevel"/>
    <w:tmpl w:val="EF22919A"/>
    <w:lvl w:ilvl="0" w:tplc="25DE429A">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C196FC3"/>
    <w:multiLevelType w:val="hybridMultilevel"/>
    <w:tmpl w:val="D3BC8A9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C9F0977"/>
    <w:multiLevelType w:val="hybridMultilevel"/>
    <w:tmpl w:val="8E468B8C"/>
    <w:lvl w:ilvl="0" w:tplc="0C0A000D">
      <w:start w:val="1"/>
      <w:numFmt w:val="bullet"/>
      <w:lvlText w:val=""/>
      <w:lvlJc w:val="left"/>
      <w:pPr>
        <w:ind w:left="1440" w:hanging="360"/>
      </w:pPr>
      <w:rPr>
        <w:rFonts w:ascii="Wingdings" w:hAnsi="Wingding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nsid w:val="2F3C5F19"/>
    <w:multiLevelType w:val="hybridMultilevel"/>
    <w:tmpl w:val="238029F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F3F1B44"/>
    <w:multiLevelType w:val="hybridMultilevel"/>
    <w:tmpl w:val="6EA89BE6"/>
    <w:lvl w:ilvl="0" w:tplc="7B724BCE">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FED2907"/>
    <w:multiLevelType w:val="hybridMultilevel"/>
    <w:tmpl w:val="3C34F2D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44CC0270"/>
    <w:multiLevelType w:val="hybridMultilevel"/>
    <w:tmpl w:val="7FBE379E"/>
    <w:lvl w:ilvl="0" w:tplc="0C0A0001">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47E84758"/>
    <w:multiLevelType w:val="hybridMultilevel"/>
    <w:tmpl w:val="647C7584"/>
    <w:lvl w:ilvl="0" w:tplc="0C0A0001">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4AF55CC1"/>
    <w:multiLevelType w:val="hybridMultilevel"/>
    <w:tmpl w:val="688428F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AFA2982"/>
    <w:multiLevelType w:val="hybridMultilevel"/>
    <w:tmpl w:val="24D2D9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C646BBE"/>
    <w:multiLevelType w:val="hybridMultilevel"/>
    <w:tmpl w:val="BD087BB8"/>
    <w:lvl w:ilvl="0" w:tplc="0C0A0001">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21">
    <w:nsid w:val="512946BF"/>
    <w:multiLevelType w:val="hybridMultilevel"/>
    <w:tmpl w:val="524C898E"/>
    <w:lvl w:ilvl="0" w:tplc="0C0A000F">
      <w:start w:val="1"/>
      <w:numFmt w:val="decimal"/>
      <w:lvlText w:val="%1."/>
      <w:lvlJc w:val="left"/>
      <w:pPr>
        <w:tabs>
          <w:tab w:val="num" w:pos="6173"/>
        </w:tabs>
        <w:ind w:left="6173" w:hanging="360"/>
      </w:pPr>
    </w:lvl>
    <w:lvl w:ilvl="1" w:tplc="B34CDDF4">
      <w:numFmt w:val="bullet"/>
      <w:lvlText w:val="-"/>
      <w:lvlJc w:val="left"/>
      <w:pPr>
        <w:tabs>
          <w:tab w:val="num" w:pos="6938"/>
        </w:tabs>
        <w:ind w:left="6938" w:hanging="405"/>
      </w:pPr>
      <w:rPr>
        <w:rFonts w:ascii="Verdana" w:eastAsia="Times New Roman" w:hAnsi="Verdana" w:cs="Arial" w:hint="default"/>
      </w:rPr>
    </w:lvl>
    <w:lvl w:ilvl="2" w:tplc="0C0A001B" w:tentative="1">
      <w:start w:val="1"/>
      <w:numFmt w:val="lowerRoman"/>
      <w:lvlText w:val="%3."/>
      <w:lvlJc w:val="right"/>
      <w:pPr>
        <w:tabs>
          <w:tab w:val="num" w:pos="7613"/>
        </w:tabs>
        <w:ind w:left="7613" w:hanging="180"/>
      </w:pPr>
    </w:lvl>
    <w:lvl w:ilvl="3" w:tplc="0C0A000F" w:tentative="1">
      <w:start w:val="1"/>
      <w:numFmt w:val="decimal"/>
      <w:lvlText w:val="%4."/>
      <w:lvlJc w:val="left"/>
      <w:pPr>
        <w:tabs>
          <w:tab w:val="num" w:pos="8333"/>
        </w:tabs>
        <w:ind w:left="8333" w:hanging="360"/>
      </w:pPr>
    </w:lvl>
    <w:lvl w:ilvl="4" w:tplc="0C0A0019" w:tentative="1">
      <w:start w:val="1"/>
      <w:numFmt w:val="lowerLetter"/>
      <w:lvlText w:val="%5."/>
      <w:lvlJc w:val="left"/>
      <w:pPr>
        <w:tabs>
          <w:tab w:val="num" w:pos="9053"/>
        </w:tabs>
        <w:ind w:left="9053" w:hanging="360"/>
      </w:pPr>
    </w:lvl>
    <w:lvl w:ilvl="5" w:tplc="0C0A001B" w:tentative="1">
      <w:start w:val="1"/>
      <w:numFmt w:val="lowerRoman"/>
      <w:lvlText w:val="%6."/>
      <w:lvlJc w:val="right"/>
      <w:pPr>
        <w:tabs>
          <w:tab w:val="num" w:pos="9773"/>
        </w:tabs>
        <w:ind w:left="9773" w:hanging="180"/>
      </w:pPr>
    </w:lvl>
    <w:lvl w:ilvl="6" w:tplc="0C0A000F" w:tentative="1">
      <w:start w:val="1"/>
      <w:numFmt w:val="decimal"/>
      <w:lvlText w:val="%7."/>
      <w:lvlJc w:val="left"/>
      <w:pPr>
        <w:tabs>
          <w:tab w:val="num" w:pos="10493"/>
        </w:tabs>
        <w:ind w:left="10493" w:hanging="360"/>
      </w:pPr>
    </w:lvl>
    <w:lvl w:ilvl="7" w:tplc="0C0A0019" w:tentative="1">
      <w:start w:val="1"/>
      <w:numFmt w:val="lowerLetter"/>
      <w:lvlText w:val="%8."/>
      <w:lvlJc w:val="left"/>
      <w:pPr>
        <w:tabs>
          <w:tab w:val="num" w:pos="11213"/>
        </w:tabs>
        <w:ind w:left="11213" w:hanging="360"/>
      </w:pPr>
    </w:lvl>
    <w:lvl w:ilvl="8" w:tplc="0C0A001B" w:tentative="1">
      <w:start w:val="1"/>
      <w:numFmt w:val="lowerRoman"/>
      <w:lvlText w:val="%9."/>
      <w:lvlJc w:val="right"/>
      <w:pPr>
        <w:tabs>
          <w:tab w:val="num" w:pos="11933"/>
        </w:tabs>
        <w:ind w:left="11933" w:hanging="180"/>
      </w:pPr>
    </w:lvl>
  </w:abstractNum>
  <w:abstractNum w:abstractNumId="22">
    <w:nsid w:val="5B075D78"/>
    <w:multiLevelType w:val="hybridMultilevel"/>
    <w:tmpl w:val="77D494E2"/>
    <w:lvl w:ilvl="0" w:tplc="0C0A0001">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5D1E206B"/>
    <w:multiLevelType w:val="hybridMultilevel"/>
    <w:tmpl w:val="E23EE3D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nsid w:val="6051445F"/>
    <w:multiLevelType w:val="hybridMultilevel"/>
    <w:tmpl w:val="EF6CC5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6490241B"/>
    <w:multiLevelType w:val="hybridMultilevel"/>
    <w:tmpl w:val="CB44988C"/>
    <w:lvl w:ilvl="0" w:tplc="7708E3B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6501219D"/>
    <w:multiLevelType w:val="hybridMultilevel"/>
    <w:tmpl w:val="89A060B4"/>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nsid w:val="6C37422E"/>
    <w:multiLevelType w:val="hybridMultilevel"/>
    <w:tmpl w:val="20282596"/>
    <w:lvl w:ilvl="0" w:tplc="0C0A0001">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46A67AA"/>
    <w:multiLevelType w:val="multilevel"/>
    <w:tmpl w:val="63925ED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3631A5"/>
    <w:multiLevelType w:val="hybridMultilevel"/>
    <w:tmpl w:val="7188D6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779F6341"/>
    <w:multiLevelType w:val="hybridMultilevel"/>
    <w:tmpl w:val="FB56B4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785C3EAD"/>
    <w:multiLevelType w:val="hybridMultilevel"/>
    <w:tmpl w:val="AB7AD7F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7B286EED"/>
    <w:multiLevelType w:val="hybridMultilevel"/>
    <w:tmpl w:val="ADCAA3E4"/>
    <w:lvl w:ilvl="0" w:tplc="0C0A0001">
      <w:start w:val="1"/>
      <w:numFmt w:val="bullet"/>
      <w:lvlText w:val=""/>
      <w:lvlJc w:val="left"/>
      <w:pPr>
        <w:tabs>
          <w:tab w:val="num" w:pos="1004"/>
        </w:tabs>
        <w:ind w:left="1004"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7FC44F97"/>
    <w:multiLevelType w:val="hybridMultilevel"/>
    <w:tmpl w:val="AF98E6F8"/>
    <w:lvl w:ilvl="0" w:tplc="0C0A000F">
      <w:start w:val="1"/>
      <w:numFmt w:val="decimal"/>
      <w:lvlText w:val="%1."/>
      <w:lvlJc w:val="left"/>
      <w:pPr>
        <w:tabs>
          <w:tab w:val="num" w:pos="720"/>
        </w:tabs>
        <w:ind w:left="720" w:hanging="360"/>
      </w:pPr>
    </w:lvl>
    <w:lvl w:ilvl="1" w:tplc="5E4635C8">
      <w:numFmt w:val="bullet"/>
      <w:lvlText w:val="-"/>
      <w:lvlJc w:val="left"/>
      <w:pPr>
        <w:tabs>
          <w:tab w:val="num" w:pos="1440"/>
        </w:tabs>
        <w:ind w:left="1440" w:hanging="360"/>
      </w:pPr>
      <w:rPr>
        <w:rFonts w:ascii="Verdana" w:eastAsia="Times New Roman" w:hAnsi="Verdana"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7FD44F47"/>
    <w:multiLevelType w:val="hybridMultilevel"/>
    <w:tmpl w:val="E9EC9A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28"/>
  </w:num>
  <w:num w:numId="3">
    <w:abstractNumId w:val="8"/>
  </w:num>
  <w:num w:numId="4">
    <w:abstractNumId w:val="20"/>
  </w:num>
  <w:num w:numId="5">
    <w:abstractNumId w:val="9"/>
  </w:num>
  <w:num w:numId="6">
    <w:abstractNumId w:val="16"/>
  </w:num>
  <w:num w:numId="7">
    <w:abstractNumId w:val="32"/>
  </w:num>
  <w:num w:numId="8">
    <w:abstractNumId w:val="17"/>
  </w:num>
  <w:num w:numId="9">
    <w:abstractNumId w:val="10"/>
  </w:num>
  <w:num w:numId="10">
    <w:abstractNumId w:val="25"/>
  </w:num>
  <w:num w:numId="11">
    <w:abstractNumId w:val="22"/>
  </w:num>
  <w:num w:numId="12">
    <w:abstractNumId w:val="27"/>
  </w:num>
  <w:num w:numId="13">
    <w:abstractNumId w:val="0"/>
  </w:num>
  <w:num w:numId="14">
    <w:abstractNumId w:val="6"/>
  </w:num>
  <w:num w:numId="15">
    <w:abstractNumId w:val="33"/>
  </w:num>
  <w:num w:numId="16">
    <w:abstractNumId w:val="21"/>
  </w:num>
  <w:num w:numId="17">
    <w:abstractNumId w:val="2"/>
  </w:num>
  <w:num w:numId="18">
    <w:abstractNumId w:val="15"/>
  </w:num>
  <w:num w:numId="19">
    <w:abstractNumId w:val="13"/>
  </w:num>
  <w:num w:numId="20">
    <w:abstractNumId w:val="19"/>
  </w:num>
  <w:num w:numId="21">
    <w:abstractNumId w:val="18"/>
  </w:num>
  <w:num w:numId="22">
    <w:abstractNumId w:val="24"/>
  </w:num>
  <w:num w:numId="23">
    <w:abstractNumId w:val="31"/>
  </w:num>
  <w:num w:numId="24">
    <w:abstractNumId w:val="11"/>
  </w:num>
  <w:num w:numId="25">
    <w:abstractNumId w:val="30"/>
  </w:num>
  <w:num w:numId="26">
    <w:abstractNumId w:val="14"/>
  </w:num>
  <w:num w:numId="27">
    <w:abstractNumId w:val="12"/>
  </w:num>
  <w:num w:numId="28">
    <w:abstractNumId w:val="1"/>
  </w:num>
  <w:num w:numId="29">
    <w:abstractNumId w:val="7"/>
  </w:num>
  <w:num w:numId="30">
    <w:abstractNumId w:val="4"/>
  </w:num>
  <w:num w:numId="31">
    <w:abstractNumId w:val="29"/>
  </w:num>
  <w:num w:numId="32">
    <w:abstractNumId w:val="34"/>
  </w:num>
  <w:num w:numId="33">
    <w:abstractNumId w:val="3"/>
  </w:num>
  <w:num w:numId="34">
    <w:abstractNumId w:val="2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5CA"/>
    <w:rsid w:val="0000257C"/>
    <w:rsid w:val="000172E8"/>
    <w:rsid w:val="000316D6"/>
    <w:rsid w:val="00047274"/>
    <w:rsid w:val="00071F85"/>
    <w:rsid w:val="000823C9"/>
    <w:rsid w:val="00090A1E"/>
    <w:rsid w:val="00093906"/>
    <w:rsid w:val="000A12ED"/>
    <w:rsid w:val="000C364A"/>
    <w:rsid w:val="000C71C0"/>
    <w:rsid w:val="000D2344"/>
    <w:rsid w:val="000D35A4"/>
    <w:rsid w:val="000D4CAF"/>
    <w:rsid w:val="000D67CE"/>
    <w:rsid w:val="000E232C"/>
    <w:rsid w:val="000E405E"/>
    <w:rsid w:val="000F0A1A"/>
    <w:rsid w:val="000F2166"/>
    <w:rsid w:val="000F51C2"/>
    <w:rsid w:val="000F74F9"/>
    <w:rsid w:val="00107279"/>
    <w:rsid w:val="00114E74"/>
    <w:rsid w:val="0012078D"/>
    <w:rsid w:val="0012621C"/>
    <w:rsid w:val="00130BE9"/>
    <w:rsid w:val="00131B4D"/>
    <w:rsid w:val="0013208A"/>
    <w:rsid w:val="00136D06"/>
    <w:rsid w:val="00140D19"/>
    <w:rsid w:val="001441B3"/>
    <w:rsid w:val="001569E1"/>
    <w:rsid w:val="00156A9A"/>
    <w:rsid w:val="0016017C"/>
    <w:rsid w:val="00167BF2"/>
    <w:rsid w:val="00182A26"/>
    <w:rsid w:val="00185321"/>
    <w:rsid w:val="00193AFE"/>
    <w:rsid w:val="001B2AAF"/>
    <w:rsid w:val="001C025B"/>
    <w:rsid w:val="001D2F37"/>
    <w:rsid w:val="001E546D"/>
    <w:rsid w:val="001F5097"/>
    <w:rsid w:val="001F54B3"/>
    <w:rsid w:val="001F5783"/>
    <w:rsid w:val="001F7E32"/>
    <w:rsid w:val="0020513A"/>
    <w:rsid w:val="00236C6A"/>
    <w:rsid w:val="00237F32"/>
    <w:rsid w:val="00243520"/>
    <w:rsid w:val="00273185"/>
    <w:rsid w:val="00281A9E"/>
    <w:rsid w:val="0029453D"/>
    <w:rsid w:val="00307EF6"/>
    <w:rsid w:val="0031075B"/>
    <w:rsid w:val="00315BD3"/>
    <w:rsid w:val="0031640C"/>
    <w:rsid w:val="00330F10"/>
    <w:rsid w:val="0035662A"/>
    <w:rsid w:val="0035739E"/>
    <w:rsid w:val="00360B2D"/>
    <w:rsid w:val="0036330E"/>
    <w:rsid w:val="00372B51"/>
    <w:rsid w:val="003805D5"/>
    <w:rsid w:val="00381A14"/>
    <w:rsid w:val="00385BCE"/>
    <w:rsid w:val="00396937"/>
    <w:rsid w:val="003976E6"/>
    <w:rsid w:val="003B7504"/>
    <w:rsid w:val="003C6A89"/>
    <w:rsid w:val="003D70AF"/>
    <w:rsid w:val="00417DF9"/>
    <w:rsid w:val="004217D6"/>
    <w:rsid w:val="00425C23"/>
    <w:rsid w:val="00426084"/>
    <w:rsid w:val="00426FD0"/>
    <w:rsid w:val="00430575"/>
    <w:rsid w:val="0043207C"/>
    <w:rsid w:val="00444424"/>
    <w:rsid w:val="00451BB5"/>
    <w:rsid w:val="004607C6"/>
    <w:rsid w:val="004641C2"/>
    <w:rsid w:val="00470EF5"/>
    <w:rsid w:val="0047470B"/>
    <w:rsid w:val="0048185A"/>
    <w:rsid w:val="00485643"/>
    <w:rsid w:val="004860BC"/>
    <w:rsid w:val="00491728"/>
    <w:rsid w:val="00495597"/>
    <w:rsid w:val="004A6295"/>
    <w:rsid w:val="004B70F2"/>
    <w:rsid w:val="004B71C7"/>
    <w:rsid w:val="004D0F34"/>
    <w:rsid w:val="004D68F2"/>
    <w:rsid w:val="004E45AF"/>
    <w:rsid w:val="004F017D"/>
    <w:rsid w:val="00507031"/>
    <w:rsid w:val="005179DC"/>
    <w:rsid w:val="00530157"/>
    <w:rsid w:val="00530191"/>
    <w:rsid w:val="00532067"/>
    <w:rsid w:val="00563275"/>
    <w:rsid w:val="00564656"/>
    <w:rsid w:val="0057315E"/>
    <w:rsid w:val="00575D6D"/>
    <w:rsid w:val="00585A84"/>
    <w:rsid w:val="005876BB"/>
    <w:rsid w:val="005906B7"/>
    <w:rsid w:val="005A40A3"/>
    <w:rsid w:val="005B45D1"/>
    <w:rsid w:val="005D016B"/>
    <w:rsid w:val="005D0C96"/>
    <w:rsid w:val="005D315F"/>
    <w:rsid w:val="005E198A"/>
    <w:rsid w:val="005E6D2C"/>
    <w:rsid w:val="005F297F"/>
    <w:rsid w:val="005F6CC4"/>
    <w:rsid w:val="005F75CA"/>
    <w:rsid w:val="0060382B"/>
    <w:rsid w:val="00605118"/>
    <w:rsid w:val="006122D5"/>
    <w:rsid w:val="00617DA3"/>
    <w:rsid w:val="00634210"/>
    <w:rsid w:val="006469FF"/>
    <w:rsid w:val="00656F9F"/>
    <w:rsid w:val="00662A39"/>
    <w:rsid w:val="006634F5"/>
    <w:rsid w:val="00682F5C"/>
    <w:rsid w:val="00692862"/>
    <w:rsid w:val="006C1AB4"/>
    <w:rsid w:val="006C3CA0"/>
    <w:rsid w:val="006C575F"/>
    <w:rsid w:val="006D47BF"/>
    <w:rsid w:val="006D7FB6"/>
    <w:rsid w:val="006E4FF3"/>
    <w:rsid w:val="006E7A80"/>
    <w:rsid w:val="00735B23"/>
    <w:rsid w:val="00736753"/>
    <w:rsid w:val="00740FC4"/>
    <w:rsid w:val="007426EC"/>
    <w:rsid w:val="00745C62"/>
    <w:rsid w:val="00746955"/>
    <w:rsid w:val="007628D3"/>
    <w:rsid w:val="0076612F"/>
    <w:rsid w:val="00776718"/>
    <w:rsid w:val="0078316F"/>
    <w:rsid w:val="00793D82"/>
    <w:rsid w:val="00797EE2"/>
    <w:rsid w:val="007A7CDD"/>
    <w:rsid w:val="007D66D3"/>
    <w:rsid w:val="007F5458"/>
    <w:rsid w:val="0081405C"/>
    <w:rsid w:val="008144AF"/>
    <w:rsid w:val="00816DDD"/>
    <w:rsid w:val="00837B82"/>
    <w:rsid w:val="00851DB5"/>
    <w:rsid w:val="00864D5D"/>
    <w:rsid w:val="00870B1B"/>
    <w:rsid w:val="00874CC1"/>
    <w:rsid w:val="00882C3C"/>
    <w:rsid w:val="00891A7C"/>
    <w:rsid w:val="0089611C"/>
    <w:rsid w:val="008B0722"/>
    <w:rsid w:val="008B560F"/>
    <w:rsid w:val="008C2223"/>
    <w:rsid w:val="008D60E0"/>
    <w:rsid w:val="008E1648"/>
    <w:rsid w:val="008F1307"/>
    <w:rsid w:val="008F25D4"/>
    <w:rsid w:val="008F52EC"/>
    <w:rsid w:val="009014F2"/>
    <w:rsid w:val="00907826"/>
    <w:rsid w:val="0091419F"/>
    <w:rsid w:val="00915E91"/>
    <w:rsid w:val="00917D54"/>
    <w:rsid w:val="009217B3"/>
    <w:rsid w:val="00943F70"/>
    <w:rsid w:val="00945BB7"/>
    <w:rsid w:val="00950B49"/>
    <w:rsid w:val="009571A8"/>
    <w:rsid w:val="009663ED"/>
    <w:rsid w:val="00970322"/>
    <w:rsid w:val="009734A7"/>
    <w:rsid w:val="00977FA0"/>
    <w:rsid w:val="00981F87"/>
    <w:rsid w:val="00983B66"/>
    <w:rsid w:val="00986436"/>
    <w:rsid w:val="00990DEF"/>
    <w:rsid w:val="009962BA"/>
    <w:rsid w:val="00996B83"/>
    <w:rsid w:val="009A105D"/>
    <w:rsid w:val="009A7A20"/>
    <w:rsid w:val="009B3C52"/>
    <w:rsid w:val="009B6625"/>
    <w:rsid w:val="009E4E7F"/>
    <w:rsid w:val="00A02AF8"/>
    <w:rsid w:val="00A41ECE"/>
    <w:rsid w:val="00A50E44"/>
    <w:rsid w:val="00A5562C"/>
    <w:rsid w:val="00A55BF4"/>
    <w:rsid w:val="00A65200"/>
    <w:rsid w:val="00A6621A"/>
    <w:rsid w:val="00A70A3D"/>
    <w:rsid w:val="00A90C26"/>
    <w:rsid w:val="00AA7874"/>
    <w:rsid w:val="00AB018B"/>
    <w:rsid w:val="00AB361A"/>
    <w:rsid w:val="00AB4701"/>
    <w:rsid w:val="00AC6BE9"/>
    <w:rsid w:val="00AC75F4"/>
    <w:rsid w:val="00AD0EF5"/>
    <w:rsid w:val="00AD2F81"/>
    <w:rsid w:val="00AD3D70"/>
    <w:rsid w:val="00AD5B5A"/>
    <w:rsid w:val="00AE5C35"/>
    <w:rsid w:val="00B03796"/>
    <w:rsid w:val="00B213A1"/>
    <w:rsid w:val="00B21E4D"/>
    <w:rsid w:val="00B27A7A"/>
    <w:rsid w:val="00B3225B"/>
    <w:rsid w:val="00B338C3"/>
    <w:rsid w:val="00B45622"/>
    <w:rsid w:val="00B47218"/>
    <w:rsid w:val="00B50EEA"/>
    <w:rsid w:val="00B53EDF"/>
    <w:rsid w:val="00B54891"/>
    <w:rsid w:val="00B61921"/>
    <w:rsid w:val="00B7450C"/>
    <w:rsid w:val="00B83580"/>
    <w:rsid w:val="00B863B1"/>
    <w:rsid w:val="00B9060D"/>
    <w:rsid w:val="00BA450F"/>
    <w:rsid w:val="00BB31E6"/>
    <w:rsid w:val="00BD66E0"/>
    <w:rsid w:val="00BE4DEA"/>
    <w:rsid w:val="00BF1113"/>
    <w:rsid w:val="00BF649D"/>
    <w:rsid w:val="00BF6B7A"/>
    <w:rsid w:val="00C0097E"/>
    <w:rsid w:val="00C00FBA"/>
    <w:rsid w:val="00C043D6"/>
    <w:rsid w:val="00C05739"/>
    <w:rsid w:val="00C13104"/>
    <w:rsid w:val="00C305C6"/>
    <w:rsid w:val="00C32A8D"/>
    <w:rsid w:val="00C35BB3"/>
    <w:rsid w:val="00C458DF"/>
    <w:rsid w:val="00C5349D"/>
    <w:rsid w:val="00C53CA8"/>
    <w:rsid w:val="00C53E3C"/>
    <w:rsid w:val="00C57DE3"/>
    <w:rsid w:val="00C63089"/>
    <w:rsid w:val="00C63F3F"/>
    <w:rsid w:val="00C67522"/>
    <w:rsid w:val="00C70006"/>
    <w:rsid w:val="00CA67D6"/>
    <w:rsid w:val="00CA737F"/>
    <w:rsid w:val="00CB08F2"/>
    <w:rsid w:val="00CC1715"/>
    <w:rsid w:val="00CC6727"/>
    <w:rsid w:val="00CD0C2F"/>
    <w:rsid w:val="00CD26B7"/>
    <w:rsid w:val="00CD7C17"/>
    <w:rsid w:val="00CF7521"/>
    <w:rsid w:val="00D010C6"/>
    <w:rsid w:val="00D06ACE"/>
    <w:rsid w:val="00D10F4C"/>
    <w:rsid w:val="00D1635C"/>
    <w:rsid w:val="00D20EA8"/>
    <w:rsid w:val="00D25379"/>
    <w:rsid w:val="00D273A8"/>
    <w:rsid w:val="00D3529E"/>
    <w:rsid w:val="00D42A2C"/>
    <w:rsid w:val="00D60E7E"/>
    <w:rsid w:val="00D611A3"/>
    <w:rsid w:val="00D62B56"/>
    <w:rsid w:val="00D64DA7"/>
    <w:rsid w:val="00D82F81"/>
    <w:rsid w:val="00D86B9C"/>
    <w:rsid w:val="00D94AEF"/>
    <w:rsid w:val="00D94BCB"/>
    <w:rsid w:val="00D97088"/>
    <w:rsid w:val="00DA0416"/>
    <w:rsid w:val="00DA4575"/>
    <w:rsid w:val="00DA6308"/>
    <w:rsid w:val="00DB5733"/>
    <w:rsid w:val="00DC6631"/>
    <w:rsid w:val="00DD773D"/>
    <w:rsid w:val="00DE525C"/>
    <w:rsid w:val="00DE7ACA"/>
    <w:rsid w:val="00DF5751"/>
    <w:rsid w:val="00DF6119"/>
    <w:rsid w:val="00E12C0E"/>
    <w:rsid w:val="00E23FE3"/>
    <w:rsid w:val="00E332A2"/>
    <w:rsid w:val="00E34C9F"/>
    <w:rsid w:val="00E5258B"/>
    <w:rsid w:val="00E546A0"/>
    <w:rsid w:val="00E54F39"/>
    <w:rsid w:val="00E641F5"/>
    <w:rsid w:val="00E66A0E"/>
    <w:rsid w:val="00E823B2"/>
    <w:rsid w:val="00E92BFE"/>
    <w:rsid w:val="00E95010"/>
    <w:rsid w:val="00E971EC"/>
    <w:rsid w:val="00EB6D98"/>
    <w:rsid w:val="00EC76D8"/>
    <w:rsid w:val="00ED006B"/>
    <w:rsid w:val="00EE7D3A"/>
    <w:rsid w:val="00F02AC7"/>
    <w:rsid w:val="00F262E0"/>
    <w:rsid w:val="00F265B3"/>
    <w:rsid w:val="00F62B51"/>
    <w:rsid w:val="00F64E1B"/>
    <w:rsid w:val="00F674E5"/>
    <w:rsid w:val="00F67CB3"/>
    <w:rsid w:val="00F722B4"/>
    <w:rsid w:val="00F75B3C"/>
    <w:rsid w:val="00F955F0"/>
    <w:rsid w:val="00FB286F"/>
    <w:rsid w:val="00FC6E09"/>
    <w:rsid w:val="00FC7D05"/>
    <w:rsid w:val="00FD19CE"/>
    <w:rsid w:val="00FE09C7"/>
    <w:rsid w:val="00FE244C"/>
    <w:rsid w:val="00FE2AB5"/>
    <w:rsid w:val="00FF01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A1A"/>
    <w:rPr>
      <w:sz w:val="24"/>
      <w:szCs w:val="24"/>
      <w:lang w:val="es-ES" w:eastAsia="es-ES"/>
    </w:rPr>
  </w:style>
  <w:style w:type="paragraph" w:styleId="Ttulo2">
    <w:name w:val="heading 2"/>
    <w:basedOn w:val="Normal"/>
    <w:next w:val="Normal"/>
    <w:qFormat/>
    <w:rsid w:val="0020513A"/>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20513A"/>
    <w:pPr>
      <w:keepNext/>
      <w:spacing w:before="240" w:after="60"/>
      <w:outlineLvl w:val="2"/>
    </w:pPr>
    <w:rPr>
      <w:rFonts w:ascii="Arial" w:hAnsi="Arial" w:cs="Arial"/>
      <w:b/>
      <w:bCs/>
      <w:sz w:val="26"/>
      <w:szCs w:val="26"/>
    </w:rPr>
  </w:style>
  <w:style w:type="paragraph" w:styleId="Ttulo6">
    <w:name w:val="heading 6"/>
    <w:basedOn w:val="Normal"/>
    <w:next w:val="Normal"/>
    <w:qFormat/>
    <w:rsid w:val="0020513A"/>
    <w:pPr>
      <w:keepNext/>
      <w:jc w:val="center"/>
      <w:outlineLvl w:val="5"/>
    </w:pPr>
    <w:rPr>
      <w:rFonts w:ascii="Arial" w:hAnsi="Arial"/>
      <w:b/>
      <w:bCs/>
    </w:rPr>
  </w:style>
  <w:style w:type="paragraph" w:styleId="Ttulo9">
    <w:name w:val="heading 9"/>
    <w:basedOn w:val="Normal"/>
    <w:next w:val="Normal"/>
    <w:qFormat/>
    <w:rsid w:val="00736753"/>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20513A"/>
    <w:pPr>
      <w:tabs>
        <w:tab w:val="center" w:pos="4252"/>
        <w:tab w:val="right" w:pos="8504"/>
      </w:tabs>
    </w:pPr>
  </w:style>
  <w:style w:type="character" w:customStyle="1" w:styleId="EncabezadoCar">
    <w:name w:val="Encabezado Car"/>
    <w:basedOn w:val="Fuentedeprrafopredeter"/>
    <w:link w:val="Encabezado"/>
    <w:semiHidden/>
    <w:locked/>
    <w:rsid w:val="0020513A"/>
    <w:rPr>
      <w:sz w:val="24"/>
      <w:szCs w:val="24"/>
      <w:lang w:val="es-ES" w:eastAsia="es-ES" w:bidi="ar-SA"/>
    </w:rPr>
  </w:style>
  <w:style w:type="paragraph" w:styleId="Textoindependiente2">
    <w:name w:val="Body Text 2"/>
    <w:basedOn w:val="Normal"/>
    <w:link w:val="Textoindependiente2Car"/>
    <w:rsid w:val="00071F85"/>
    <w:pPr>
      <w:jc w:val="center"/>
    </w:pPr>
    <w:rPr>
      <w:rFonts w:ascii="Arial" w:hAnsi="Arial"/>
    </w:rPr>
  </w:style>
  <w:style w:type="character" w:styleId="Refdecomentario">
    <w:name w:val="annotation reference"/>
    <w:basedOn w:val="Fuentedeprrafopredeter"/>
    <w:semiHidden/>
    <w:rsid w:val="00870B1B"/>
    <w:rPr>
      <w:sz w:val="16"/>
      <w:szCs w:val="16"/>
    </w:rPr>
  </w:style>
  <w:style w:type="paragraph" w:customStyle="1" w:styleId="Textoindependiente21">
    <w:name w:val="Texto independiente 21"/>
    <w:basedOn w:val="Normal"/>
    <w:rsid w:val="00736753"/>
    <w:pPr>
      <w:jc w:val="both"/>
    </w:pPr>
    <w:rPr>
      <w:rFonts w:ascii="Arial" w:hAnsi="Arial"/>
      <w:szCs w:val="20"/>
      <w:lang w:val="es-ES_tradnl"/>
    </w:rPr>
  </w:style>
  <w:style w:type="paragraph" w:styleId="Sangra3detindependiente">
    <w:name w:val="Body Text Indent 3"/>
    <w:basedOn w:val="Normal"/>
    <w:rsid w:val="003C6A89"/>
    <w:pPr>
      <w:spacing w:after="120"/>
      <w:ind w:left="283"/>
    </w:pPr>
    <w:rPr>
      <w:sz w:val="16"/>
      <w:szCs w:val="16"/>
    </w:rPr>
  </w:style>
  <w:style w:type="paragraph" w:styleId="Textoindependiente">
    <w:name w:val="Body Text"/>
    <w:basedOn w:val="Normal"/>
    <w:rsid w:val="00417DF9"/>
    <w:pPr>
      <w:spacing w:after="120"/>
    </w:pPr>
  </w:style>
  <w:style w:type="paragraph" w:styleId="Textoindependiente3">
    <w:name w:val="Body Text 3"/>
    <w:basedOn w:val="Normal"/>
    <w:rsid w:val="00D86B9C"/>
    <w:pPr>
      <w:spacing w:after="120"/>
    </w:pPr>
    <w:rPr>
      <w:sz w:val="16"/>
      <w:szCs w:val="16"/>
    </w:rPr>
  </w:style>
  <w:style w:type="character" w:customStyle="1" w:styleId="Textoindependiente2Car">
    <w:name w:val="Texto independiente 2 Car"/>
    <w:link w:val="Textoindependiente2"/>
    <w:rsid w:val="00D1635C"/>
    <w:rPr>
      <w:rFonts w:ascii="Arial" w:hAnsi="Arial"/>
      <w:sz w:val="24"/>
      <w:szCs w:val="24"/>
    </w:rPr>
  </w:style>
  <w:style w:type="paragraph" w:styleId="Prrafodelista">
    <w:name w:val="List Paragraph"/>
    <w:basedOn w:val="Normal"/>
    <w:uiPriority w:val="34"/>
    <w:qFormat/>
    <w:rsid w:val="00D94AEF"/>
    <w:pPr>
      <w:spacing w:after="200" w:line="276" w:lineRule="auto"/>
      <w:ind w:left="720"/>
      <w:contextualSpacing/>
    </w:pPr>
    <w:rPr>
      <w:rFonts w:ascii="Calibri" w:eastAsia="Calibri" w:hAnsi="Calibri"/>
      <w:sz w:val="22"/>
      <w:szCs w:val="22"/>
      <w:lang w:eastAsia="en-US"/>
    </w:rPr>
  </w:style>
  <w:style w:type="paragraph" w:customStyle="1" w:styleId="Textoindependiente22">
    <w:name w:val="Texto independiente 22"/>
    <w:basedOn w:val="Normal"/>
    <w:rsid w:val="00B21E4D"/>
    <w:pPr>
      <w:jc w:val="both"/>
    </w:pPr>
    <w:rPr>
      <w:rFonts w:ascii="Arial" w:hAnsi="Arial"/>
      <w:szCs w:val="20"/>
      <w:lang w:val="es-ES_tradnl"/>
    </w:rPr>
  </w:style>
  <w:style w:type="paragraph" w:styleId="Piedepgina">
    <w:name w:val="footer"/>
    <w:basedOn w:val="Normal"/>
    <w:link w:val="PiedepginaCar"/>
    <w:unhideWhenUsed/>
    <w:rsid w:val="00A50E44"/>
    <w:pPr>
      <w:tabs>
        <w:tab w:val="center" w:pos="4419"/>
        <w:tab w:val="right" w:pos="8838"/>
      </w:tabs>
    </w:pPr>
  </w:style>
  <w:style w:type="character" w:customStyle="1" w:styleId="PiedepginaCar">
    <w:name w:val="Pie de página Car"/>
    <w:basedOn w:val="Fuentedeprrafopredeter"/>
    <w:link w:val="Piedepgina"/>
    <w:rsid w:val="00A50E44"/>
    <w:rPr>
      <w:sz w:val="24"/>
      <w:szCs w:val="24"/>
      <w:lang w:val="es-ES" w:eastAsia="es-ES"/>
    </w:rPr>
  </w:style>
  <w:style w:type="paragraph" w:styleId="Mapadeldocumento">
    <w:name w:val="Document Map"/>
    <w:basedOn w:val="Normal"/>
    <w:link w:val="MapadeldocumentoCar"/>
    <w:semiHidden/>
    <w:unhideWhenUsed/>
    <w:rsid w:val="00FE09C7"/>
    <w:rPr>
      <w:rFonts w:ascii="Tahoma" w:hAnsi="Tahoma" w:cs="Tahoma"/>
      <w:sz w:val="16"/>
      <w:szCs w:val="16"/>
    </w:rPr>
  </w:style>
  <w:style w:type="character" w:customStyle="1" w:styleId="MapadeldocumentoCar">
    <w:name w:val="Mapa del documento Car"/>
    <w:basedOn w:val="Fuentedeprrafopredeter"/>
    <w:link w:val="Mapadeldocumento"/>
    <w:semiHidden/>
    <w:rsid w:val="00FE09C7"/>
    <w:rPr>
      <w:rFonts w:ascii="Tahoma" w:hAnsi="Tahoma" w:cs="Tahoma"/>
      <w:sz w:val="16"/>
      <w:szCs w:val="16"/>
      <w:lang w:val="es-ES" w:eastAsia="es-ES"/>
    </w:rPr>
  </w:style>
  <w:style w:type="paragraph" w:styleId="Textodeglobo">
    <w:name w:val="Balloon Text"/>
    <w:basedOn w:val="Normal"/>
    <w:link w:val="TextodegloboCar"/>
    <w:semiHidden/>
    <w:unhideWhenUsed/>
    <w:rsid w:val="00C63089"/>
    <w:rPr>
      <w:rFonts w:ascii="Tahoma" w:hAnsi="Tahoma" w:cs="Tahoma"/>
      <w:sz w:val="16"/>
      <w:szCs w:val="16"/>
    </w:rPr>
  </w:style>
  <w:style w:type="character" w:customStyle="1" w:styleId="TextodegloboCar">
    <w:name w:val="Texto de globo Car"/>
    <w:basedOn w:val="Fuentedeprrafopredeter"/>
    <w:link w:val="Textodeglobo"/>
    <w:semiHidden/>
    <w:rsid w:val="00C63089"/>
    <w:rPr>
      <w:rFonts w:ascii="Tahoma"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A1A"/>
    <w:rPr>
      <w:sz w:val="24"/>
      <w:szCs w:val="24"/>
      <w:lang w:val="es-ES" w:eastAsia="es-ES"/>
    </w:rPr>
  </w:style>
  <w:style w:type="paragraph" w:styleId="Ttulo2">
    <w:name w:val="heading 2"/>
    <w:basedOn w:val="Normal"/>
    <w:next w:val="Normal"/>
    <w:qFormat/>
    <w:rsid w:val="0020513A"/>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20513A"/>
    <w:pPr>
      <w:keepNext/>
      <w:spacing w:before="240" w:after="60"/>
      <w:outlineLvl w:val="2"/>
    </w:pPr>
    <w:rPr>
      <w:rFonts w:ascii="Arial" w:hAnsi="Arial" w:cs="Arial"/>
      <w:b/>
      <w:bCs/>
      <w:sz w:val="26"/>
      <w:szCs w:val="26"/>
    </w:rPr>
  </w:style>
  <w:style w:type="paragraph" w:styleId="Ttulo6">
    <w:name w:val="heading 6"/>
    <w:basedOn w:val="Normal"/>
    <w:next w:val="Normal"/>
    <w:qFormat/>
    <w:rsid w:val="0020513A"/>
    <w:pPr>
      <w:keepNext/>
      <w:jc w:val="center"/>
      <w:outlineLvl w:val="5"/>
    </w:pPr>
    <w:rPr>
      <w:rFonts w:ascii="Arial" w:hAnsi="Arial"/>
      <w:b/>
      <w:bCs/>
    </w:rPr>
  </w:style>
  <w:style w:type="paragraph" w:styleId="Ttulo9">
    <w:name w:val="heading 9"/>
    <w:basedOn w:val="Normal"/>
    <w:next w:val="Normal"/>
    <w:qFormat/>
    <w:rsid w:val="00736753"/>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20513A"/>
    <w:pPr>
      <w:tabs>
        <w:tab w:val="center" w:pos="4252"/>
        <w:tab w:val="right" w:pos="8504"/>
      </w:tabs>
    </w:pPr>
  </w:style>
  <w:style w:type="character" w:customStyle="1" w:styleId="EncabezadoCar">
    <w:name w:val="Encabezado Car"/>
    <w:basedOn w:val="Fuentedeprrafopredeter"/>
    <w:link w:val="Encabezado"/>
    <w:semiHidden/>
    <w:locked/>
    <w:rsid w:val="0020513A"/>
    <w:rPr>
      <w:sz w:val="24"/>
      <w:szCs w:val="24"/>
      <w:lang w:val="es-ES" w:eastAsia="es-ES" w:bidi="ar-SA"/>
    </w:rPr>
  </w:style>
  <w:style w:type="paragraph" w:styleId="Textoindependiente2">
    <w:name w:val="Body Text 2"/>
    <w:basedOn w:val="Normal"/>
    <w:link w:val="Textoindependiente2Car"/>
    <w:rsid w:val="00071F85"/>
    <w:pPr>
      <w:jc w:val="center"/>
    </w:pPr>
    <w:rPr>
      <w:rFonts w:ascii="Arial" w:hAnsi="Arial"/>
    </w:rPr>
  </w:style>
  <w:style w:type="character" w:styleId="Refdecomentario">
    <w:name w:val="annotation reference"/>
    <w:basedOn w:val="Fuentedeprrafopredeter"/>
    <w:semiHidden/>
    <w:rsid w:val="00870B1B"/>
    <w:rPr>
      <w:sz w:val="16"/>
      <w:szCs w:val="16"/>
    </w:rPr>
  </w:style>
  <w:style w:type="paragraph" w:customStyle="1" w:styleId="Textoindependiente21">
    <w:name w:val="Texto independiente 21"/>
    <w:basedOn w:val="Normal"/>
    <w:rsid w:val="00736753"/>
    <w:pPr>
      <w:jc w:val="both"/>
    </w:pPr>
    <w:rPr>
      <w:rFonts w:ascii="Arial" w:hAnsi="Arial"/>
      <w:szCs w:val="20"/>
      <w:lang w:val="es-ES_tradnl"/>
    </w:rPr>
  </w:style>
  <w:style w:type="paragraph" w:styleId="Sangra3detindependiente">
    <w:name w:val="Body Text Indent 3"/>
    <w:basedOn w:val="Normal"/>
    <w:rsid w:val="003C6A89"/>
    <w:pPr>
      <w:spacing w:after="120"/>
      <w:ind w:left="283"/>
    </w:pPr>
    <w:rPr>
      <w:sz w:val="16"/>
      <w:szCs w:val="16"/>
    </w:rPr>
  </w:style>
  <w:style w:type="paragraph" w:styleId="Textoindependiente">
    <w:name w:val="Body Text"/>
    <w:basedOn w:val="Normal"/>
    <w:rsid w:val="00417DF9"/>
    <w:pPr>
      <w:spacing w:after="120"/>
    </w:pPr>
  </w:style>
  <w:style w:type="paragraph" w:styleId="Textoindependiente3">
    <w:name w:val="Body Text 3"/>
    <w:basedOn w:val="Normal"/>
    <w:rsid w:val="00D86B9C"/>
    <w:pPr>
      <w:spacing w:after="120"/>
    </w:pPr>
    <w:rPr>
      <w:sz w:val="16"/>
      <w:szCs w:val="16"/>
    </w:rPr>
  </w:style>
  <w:style w:type="character" w:customStyle="1" w:styleId="Textoindependiente2Car">
    <w:name w:val="Texto independiente 2 Car"/>
    <w:link w:val="Textoindependiente2"/>
    <w:rsid w:val="00D1635C"/>
    <w:rPr>
      <w:rFonts w:ascii="Arial" w:hAnsi="Arial"/>
      <w:sz w:val="24"/>
      <w:szCs w:val="24"/>
    </w:rPr>
  </w:style>
  <w:style w:type="paragraph" w:styleId="Prrafodelista">
    <w:name w:val="List Paragraph"/>
    <w:basedOn w:val="Normal"/>
    <w:uiPriority w:val="34"/>
    <w:qFormat/>
    <w:rsid w:val="00D94AEF"/>
    <w:pPr>
      <w:spacing w:after="200" w:line="276" w:lineRule="auto"/>
      <w:ind w:left="720"/>
      <w:contextualSpacing/>
    </w:pPr>
    <w:rPr>
      <w:rFonts w:ascii="Calibri" w:eastAsia="Calibri" w:hAnsi="Calibri"/>
      <w:sz w:val="22"/>
      <w:szCs w:val="22"/>
      <w:lang w:eastAsia="en-US"/>
    </w:rPr>
  </w:style>
  <w:style w:type="paragraph" w:customStyle="1" w:styleId="Textoindependiente22">
    <w:name w:val="Texto independiente 22"/>
    <w:basedOn w:val="Normal"/>
    <w:rsid w:val="00B21E4D"/>
    <w:pPr>
      <w:jc w:val="both"/>
    </w:pPr>
    <w:rPr>
      <w:rFonts w:ascii="Arial" w:hAnsi="Arial"/>
      <w:szCs w:val="20"/>
      <w:lang w:val="es-ES_tradnl"/>
    </w:rPr>
  </w:style>
  <w:style w:type="paragraph" w:styleId="Piedepgina">
    <w:name w:val="footer"/>
    <w:basedOn w:val="Normal"/>
    <w:link w:val="PiedepginaCar"/>
    <w:unhideWhenUsed/>
    <w:rsid w:val="00A50E44"/>
    <w:pPr>
      <w:tabs>
        <w:tab w:val="center" w:pos="4419"/>
        <w:tab w:val="right" w:pos="8838"/>
      </w:tabs>
    </w:pPr>
  </w:style>
  <w:style w:type="character" w:customStyle="1" w:styleId="PiedepginaCar">
    <w:name w:val="Pie de página Car"/>
    <w:basedOn w:val="Fuentedeprrafopredeter"/>
    <w:link w:val="Piedepgina"/>
    <w:rsid w:val="00A50E44"/>
    <w:rPr>
      <w:sz w:val="24"/>
      <w:szCs w:val="24"/>
      <w:lang w:val="es-ES" w:eastAsia="es-ES"/>
    </w:rPr>
  </w:style>
  <w:style w:type="paragraph" w:styleId="Mapadeldocumento">
    <w:name w:val="Document Map"/>
    <w:basedOn w:val="Normal"/>
    <w:link w:val="MapadeldocumentoCar"/>
    <w:semiHidden/>
    <w:unhideWhenUsed/>
    <w:rsid w:val="00FE09C7"/>
    <w:rPr>
      <w:rFonts w:ascii="Tahoma" w:hAnsi="Tahoma" w:cs="Tahoma"/>
      <w:sz w:val="16"/>
      <w:szCs w:val="16"/>
    </w:rPr>
  </w:style>
  <w:style w:type="character" w:customStyle="1" w:styleId="MapadeldocumentoCar">
    <w:name w:val="Mapa del documento Car"/>
    <w:basedOn w:val="Fuentedeprrafopredeter"/>
    <w:link w:val="Mapadeldocumento"/>
    <w:semiHidden/>
    <w:rsid w:val="00FE09C7"/>
    <w:rPr>
      <w:rFonts w:ascii="Tahoma" w:hAnsi="Tahoma" w:cs="Tahoma"/>
      <w:sz w:val="16"/>
      <w:szCs w:val="16"/>
      <w:lang w:val="es-ES" w:eastAsia="es-ES"/>
    </w:rPr>
  </w:style>
  <w:style w:type="paragraph" w:styleId="Textodeglobo">
    <w:name w:val="Balloon Text"/>
    <w:basedOn w:val="Normal"/>
    <w:link w:val="TextodegloboCar"/>
    <w:semiHidden/>
    <w:unhideWhenUsed/>
    <w:rsid w:val="00C63089"/>
    <w:rPr>
      <w:rFonts w:ascii="Tahoma" w:hAnsi="Tahoma" w:cs="Tahoma"/>
      <w:sz w:val="16"/>
      <w:szCs w:val="16"/>
    </w:rPr>
  </w:style>
  <w:style w:type="character" w:customStyle="1" w:styleId="TextodegloboCar">
    <w:name w:val="Texto de globo Car"/>
    <w:basedOn w:val="Fuentedeprrafopredeter"/>
    <w:link w:val="Textodeglobo"/>
    <w:semiHidden/>
    <w:rsid w:val="00C63089"/>
    <w:rPr>
      <w:rFonts w:ascii="Tahoma"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608116">
      <w:bodyDiv w:val="1"/>
      <w:marLeft w:val="0"/>
      <w:marRight w:val="0"/>
      <w:marTop w:val="0"/>
      <w:marBottom w:val="0"/>
      <w:divBdr>
        <w:top w:val="none" w:sz="0" w:space="0" w:color="auto"/>
        <w:left w:val="none" w:sz="0" w:space="0" w:color="auto"/>
        <w:bottom w:val="none" w:sz="0" w:space="0" w:color="auto"/>
        <w:right w:val="none" w:sz="0" w:space="0" w:color="auto"/>
      </w:divBdr>
    </w:div>
    <w:div w:id="201098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8C5E0-8D3B-47C5-AEFE-854F94C4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998</Words>
  <Characters>5550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VALORACION CUALITATIVA DEL CONTROL INTERNO CONTABLE</vt:lpstr>
    </vt:vector>
  </TitlesOfParts>
  <Company/>
  <LinksUpToDate>false</LinksUpToDate>
  <CharactersWithSpaces>6535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VALORACION CUALITATIVA DEL CONTROL INTERNO CONTABLE</dc:title>
  <dc:creator>groman</dc:creator>
  <cp:lastModifiedBy>John Sebastian Botero Holguin</cp:lastModifiedBy>
  <cp:revision>14</cp:revision>
  <cp:lastPrinted>2010-03-19T19:44:00Z</cp:lastPrinted>
  <dcterms:created xsi:type="dcterms:W3CDTF">2018-02-27T12:50:00Z</dcterms:created>
  <dcterms:modified xsi:type="dcterms:W3CDTF">2018-02-27T20:54:00Z</dcterms:modified>
</cp:coreProperties>
</file>